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9287" w14:textId="77777777" w:rsidR="0005140A" w:rsidRDefault="0005140A"/>
    <w:p w14:paraId="5E510DB9" w14:textId="77777777" w:rsidR="000333D5" w:rsidRDefault="000333D5"/>
    <w:p w14:paraId="66885363" w14:textId="77777777" w:rsidR="000333D5" w:rsidRDefault="000333D5"/>
    <w:p w14:paraId="16F3ED5C" w14:textId="77777777" w:rsidR="000333D5" w:rsidRDefault="000333D5" w:rsidP="000333D5">
      <w:pPr>
        <w:pStyle w:val="ListNumber"/>
        <w:numPr>
          <w:ilvl w:val="0"/>
          <w:numId w:val="0"/>
        </w:numPr>
        <w:tabs>
          <w:tab w:val="num" w:pos="1440"/>
        </w:tabs>
        <w:ind w:left="1440" w:hanging="540"/>
        <w:jc w:val="center"/>
        <w:rPr>
          <w:b/>
        </w:rPr>
      </w:pPr>
    </w:p>
    <w:p w14:paraId="26E5A795" w14:textId="5559DBFC" w:rsidR="000333D5" w:rsidRDefault="000333D5" w:rsidP="000333D5">
      <w:pPr>
        <w:pStyle w:val="ListNumber"/>
        <w:numPr>
          <w:ilvl w:val="0"/>
          <w:numId w:val="0"/>
        </w:numPr>
        <w:tabs>
          <w:tab w:val="num" w:pos="1440"/>
        </w:tabs>
        <w:ind w:left="1440" w:hanging="540"/>
        <w:jc w:val="center"/>
        <w:rPr>
          <w:rFonts w:cs="Arial"/>
          <w:b/>
          <w:szCs w:val="24"/>
        </w:rPr>
      </w:pPr>
      <w:r w:rsidRPr="000333D5">
        <w:rPr>
          <w:rFonts w:cs="Arial"/>
          <w:b/>
          <w:szCs w:val="24"/>
        </w:rPr>
        <w:t xml:space="preserve">Gender Pay Gap Data </w:t>
      </w:r>
      <w:proofErr w:type="gramStart"/>
      <w:r w:rsidR="004B290D">
        <w:rPr>
          <w:rFonts w:cs="Arial"/>
          <w:b/>
          <w:szCs w:val="24"/>
        </w:rPr>
        <w:t>at</w:t>
      </w:r>
      <w:proofErr w:type="gramEnd"/>
      <w:r w:rsidR="004B290D">
        <w:rPr>
          <w:rFonts w:cs="Arial"/>
          <w:b/>
          <w:szCs w:val="24"/>
        </w:rPr>
        <w:t xml:space="preserve"> 5</w:t>
      </w:r>
      <w:r w:rsidR="004B290D" w:rsidRPr="004B290D">
        <w:rPr>
          <w:rFonts w:cs="Arial"/>
          <w:b/>
          <w:szCs w:val="24"/>
          <w:vertAlign w:val="superscript"/>
        </w:rPr>
        <w:t>th</w:t>
      </w:r>
      <w:r w:rsidR="004B290D">
        <w:rPr>
          <w:rFonts w:cs="Arial"/>
          <w:b/>
          <w:szCs w:val="24"/>
        </w:rPr>
        <w:t xml:space="preserve"> April </w:t>
      </w:r>
      <w:r w:rsidR="00BE1E2C">
        <w:rPr>
          <w:rFonts w:cs="Arial"/>
          <w:b/>
          <w:szCs w:val="24"/>
        </w:rPr>
        <w:t>2021</w:t>
      </w:r>
    </w:p>
    <w:p w14:paraId="535ACBB4" w14:textId="0340E513" w:rsidR="00C50658" w:rsidRPr="000333D5" w:rsidRDefault="00C50658" w:rsidP="004B290D">
      <w:pPr>
        <w:pStyle w:val="ListNumber"/>
        <w:numPr>
          <w:ilvl w:val="0"/>
          <w:numId w:val="0"/>
        </w:numPr>
        <w:tabs>
          <w:tab w:val="num" w:pos="1440"/>
        </w:tabs>
        <w:ind w:left="1440" w:hanging="540"/>
        <w:rPr>
          <w:rFonts w:cs="Arial"/>
          <w:b/>
          <w:szCs w:val="24"/>
        </w:rPr>
      </w:pPr>
    </w:p>
    <w:p w14:paraId="5D45AAA8" w14:textId="77777777" w:rsidR="000333D5" w:rsidRPr="000333D5" w:rsidRDefault="000333D5" w:rsidP="000333D5">
      <w:pPr>
        <w:pStyle w:val="ListNumber"/>
        <w:numPr>
          <w:ilvl w:val="0"/>
          <w:numId w:val="0"/>
        </w:numPr>
        <w:tabs>
          <w:tab w:val="num" w:pos="1440"/>
        </w:tabs>
        <w:ind w:left="1440" w:hanging="540"/>
        <w:jc w:val="left"/>
        <w:rPr>
          <w:rFonts w:cs="Arial"/>
          <w:szCs w:val="24"/>
        </w:rPr>
      </w:pPr>
    </w:p>
    <w:p w14:paraId="54B0C8F2" w14:textId="77777777" w:rsidR="00C50658" w:rsidRPr="0062034B" w:rsidRDefault="00C50658" w:rsidP="000333D5">
      <w:pPr>
        <w:pStyle w:val="ListNumber"/>
        <w:numPr>
          <w:ilvl w:val="0"/>
          <w:numId w:val="0"/>
        </w:numPr>
        <w:ind w:left="720"/>
        <w:rPr>
          <w:rStyle w:val="Strong"/>
          <w:rFonts w:cs="Arial"/>
          <w:szCs w:val="24"/>
        </w:rPr>
      </w:pPr>
      <w:r w:rsidRPr="0062034B">
        <w:rPr>
          <w:rStyle w:val="Strong"/>
          <w:rFonts w:cs="Arial"/>
          <w:szCs w:val="24"/>
        </w:rPr>
        <w:t>Introduction</w:t>
      </w:r>
    </w:p>
    <w:p w14:paraId="1D19C48F" w14:textId="77777777" w:rsidR="00C50658" w:rsidRPr="0062034B" w:rsidRDefault="00C50658" w:rsidP="000333D5">
      <w:pPr>
        <w:pStyle w:val="ListNumber"/>
        <w:numPr>
          <w:ilvl w:val="0"/>
          <w:numId w:val="0"/>
        </w:numPr>
        <w:ind w:left="720"/>
        <w:rPr>
          <w:rStyle w:val="Strong"/>
          <w:rFonts w:cs="Arial"/>
          <w:b w:val="0"/>
          <w:szCs w:val="24"/>
        </w:rPr>
      </w:pPr>
    </w:p>
    <w:p w14:paraId="009650DC" w14:textId="77777777" w:rsidR="000333D5" w:rsidRPr="0062034B" w:rsidRDefault="00C50658" w:rsidP="000333D5">
      <w:pPr>
        <w:pStyle w:val="ListNumber"/>
        <w:numPr>
          <w:ilvl w:val="0"/>
          <w:numId w:val="0"/>
        </w:numPr>
        <w:ind w:left="720"/>
        <w:rPr>
          <w:rFonts w:cs="Arial"/>
          <w:szCs w:val="24"/>
        </w:rPr>
      </w:pPr>
      <w:r w:rsidRPr="0062034B">
        <w:rPr>
          <w:rStyle w:val="Strong"/>
          <w:rFonts w:cs="Arial"/>
          <w:b w:val="0"/>
          <w:szCs w:val="24"/>
        </w:rPr>
        <w:t>South Tyne</w:t>
      </w:r>
      <w:r w:rsidR="006910AD">
        <w:rPr>
          <w:rStyle w:val="Strong"/>
          <w:rFonts w:cs="Arial"/>
          <w:b w:val="0"/>
          <w:szCs w:val="24"/>
        </w:rPr>
        <w:t>side Homes manages estates and C</w:t>
      </w:r>
      <w:r w:rsidRPr="0062034B">
        <w:rPr>
          <w:rStyle w:val="Strong"/>
          <w:rFonts w:cs="Arial"/>
          <w:b w:val="0"/>
          <w:szCs w:val="24"/>
        </w:rPr>
        <w:t xml:space="preserve">ouncil housing stock on behalf of South Tyneside Council. To do this effectively, we have agreed values and objectives with our partners and customers. </w:t>
      </w:r>
      <w:r w:rsidR="000333D5" w:rsidRPr="0062034B">
        <w:rPr>
          <w:rFonts w:cs="Arial"/>
          <w:szCs w:val="24"/>
        </w:rPr>
        <w:t>Our vision is to</w:t>
      </w:r>
      <w:r w:rsidR="0032102F" w:rsidRPr="0062034B">
        <w:rPr>
          <w:rFonts w:cs="Arial"/>
          <w:szCs w:val="24"/>
        </w:rPr>
        <w:t xml:space="preserve"> deliver excellent</w:t>
      </w:r>
      <w:r w:rsidR="0032102F" w:rsidRPr="0062034B">
        <w:rPr>
          <w:rFonts w:cs="Arial"/>
          <w:b/>
          <w:szCs w:val="24"/>
        </w:rPr>
        <w:t xml:space="preserve"> </w:t>
      </w:r>
      <w:r w:rsidR="0032102F" w:rsidRPr="0062034B">
        <w:rPr>
          <w:rFonts w:cs="Arial"/>
          <w:szCs w:val="24"/>
        </w:rPr>
        <w:t>services in neighbourhoods through empowered and motivated staff.</w:t>
      </w:r>
    </w:p>
    <w:p w14:paraId="21A8B029" w14:textId="77777777" w:rsidR="00C50658" w:rsidRPr="0062034B" w:rsidRDefault="00C50658" w:rsidP="000333D5">
      <w:pPr>
        <w:pStyle w:val="ListNumber"/>
        <w:numPr>
          <w:ilvl w:val="0"/>
          <w:numId w:val="0"/>
        </w:numPr>
        <w:ind w:left="720"/>
        <w:rPr>
          <w:rFonts w:cs="Arial"/>
          <w:szCs w:val="24"/>
        </w:rPr>
      </w:pPr>
    </w:p>
    <w:p w14:paraId="5F7ADD20" w14:textId="77777777" w:rsidR="00C50658" w:rsidRPr="0062034B" w:rsidRDefault="00C50658" w:rsidP="00C50658">
      <w:pPr>
        <w:pStyle w:val="ListNumber"/>
        <w:numPr>
          <w:ilvl w:val="0"/>
          <w:numId w:val="0"/>
        </w:numPr>
        <w:ind w:left="720"/>
        <w:rPr>
          <w:rFonts w:cs="Arial"/>
          <w:szCs w:val="24"/>
        </w:rPr>
      </w:pPr>
      <w:r w:rsidRPr="0062034B">
        <w:rPr>
          <w:szCs w:val="24"/>
        </w:rPr>
        <w:t xml:space="preserve">We have committed to making sure that everyone is given a fair chance to access our services and employment opportunities.  Our aim is </w:t>
      </w:r>
      <w:r w:rsidR="0062034B" w:rsidRPr="0062034B">
        <w:rPr>
          <w:szCs w:val="24"/>
        </w:rPr>
        <w:t>to be an employer of choice, to treat all people fairly and ensure our employees understand and practice our commitment to equality and diversity.</w:t>
      </w:r>
    </w:p>
    <w:p w14:paraId="0781FDDE" w14:textId="77777777" w:rsidR="00C50658" w:rsidRDefault="00C50658" w:rsidP="00F40DD0">
      <w:pPr>
        <w:spacing w:line="360" w:lineRule="auto"/>
        <w:ind w:left="720"/>
        <w:rPr>
          <w:rFonts w:cs="Arial"/>
          <w:sz w:val="24"/>
          <w:szCs w:val="24"/>
        </w:rPr>
      </w:pPr>
    </w:p>
    <w:p w14:paraId="20F4D25E" w14:textId="11293CEF" w:rsidR="00F40DD0" w:rsidRDefault="000333D5" w:rsidP="00F40DD0">
      <w:pPr>
        <w:spacing w:line="360" w:lineRule="auto"/>
        <w:ind w:left="720"/>
        <w:rPr>
          <w:rFonts w:cs="Arial"/>
          <w:sz w:val="24"/>
          <w:szCs w:val="24"/>
        </w:rPr>
      </w:pPr>
      <w:r w:rsidRPr="00F40DD0">
        <w:rPr>
          <w:rFonts w:cs="Arial"/>
          <w:sz w:val="24"/>
          <w:szCs w:val="24"/>
        </w:rPr>
        <w:t>The Government require</w:t>
      </w:r>
      <w:r w:rsidR="004B290D">
        <w:rPr>
          <w:rFonts w:cs="Arial"/>
          <w:sz w:val="24"/>
          <w:szCs w:val="24"/>
        </w:rPr>
        <w:t>s</w:t>
      </w:r>
      <w:r w:rsidRPr="00F40DD0">
        <w:rPr>
          <w:rFonts w:cs="Arial"/>
          <w:sz w:val="24"/>
          <w:szCs w:val="24"/>
        </w:rPr>
        <w:t xml:space="preserve"> all employers with over 250 employees to report their gender pay gap on an annual basis.  </w:t>
      </w:r>
      <w:r w:rsidR="00F40DD0" w:rsidRPr="00F40DD0">
        <w:rPr>
          <w:rFonts w:cs="Arial"/>
          <w:sz w:val="24"/>
          <w:szCs w:val="24"/>
        </w:rPr>
        <w:t>The gender pay</w:t>
      </w:r>
      <w:r w:rsidR="00F40DD0" w:rsidRPr="000333D5">
        <w:rPr>
          <w:rFonts w:cs="Arial"/>
          <w:sz w:val="24"/>
          <w:szCs w:val="24"/>
        </w:rPr>
        <w:t xml:space="preserve"> gap data highlights the difference between the average pay of men and wom</w:t>
      </w:r>
      <w:r w:rsidR="006E62A8">
        <w:rPr>
          <w:rFonts w:cs="Arial"/>
          <w:sz w:val="24"/>
          <w:szCs w:val="24"/>
        </w:rPr>
        <w:t>e</w:t>
      </w:r>
      <w:r w:rsidR="00F40DD0" w:rsidRPr="000333D5">
        <w:rPr>
          <w:rFonts w:cs="Arial"/>
          <w:sz w:val="24"/>
          <w:szCs w:val="24"/>
        </w:rPr>
        <w:t>n; it is not a measure equal pay, which relates to what men and wom</w:t>
      </w:r>
      <w:r w:rsidR="006E62A8">
        <w:rPr>
          <w:rFonts w:cs="Arial"/>
          <w:sz w:val="24"/>
          <w:szCs w:val="24"/>
        </w:rPr>
        <w:t>e</w:t>
      </w:r>
      <w:r w:rsidR="00F40DD0" w:rsidRPr="000333D5">
        <w:rPr>
          <w:rFonts w:cs="Arial"/>
          <w:sz w:val="24"/>
          <w:szCs w:val="24"/>
        </w:rPr>
        <w:t xml:space="preserve">n are paid for the same or similar roles or work of equal value.  The </w:t>
      </w:r>
      <w:r w:rsidR="00F40DD0">
        <w:rPr>
          <w:rFonts w:cs="Arial"/>
          <w:sz w:val="24"/>
          <w:szCs w:val="24"/>
        </w:rPr>
        <w:t>Company</w:t>
      </w:r>
      <w:r w:rsidR="00F40DD0" w:rsidRPr="000333D5">
        <w:rPr>
          <w:rFonts w:cs="Arial"/>
          <w:sz w:val="24"/>
          <w:szCs w:val="24"/>
        </w:rPr>
        <w:t xml:space="preserve"> is an equal pay employer.  Our pay structure is subject to transparent and robust job evaluation processes using the recommended Gauge System.</w:t>
      </w:r>
    </w:p>
    <w:p w14:paraId="6B3713C6" w14:textId="77777777" w:rsidR="00F40DD0" w:rsidRPr="000333D5" w:rsidRDefault="00F40DD0" w:rsidP="00F40DD0">
      <w:pPr>
        <w:spacing w:line="360" w:lineRule="auto"/>
        <w:ind w:left="720"/>
        <w:rPr>
          <w:rFonts w:cs="Arial"/>
          <w:sz w:val="24"/>
          <w:szCs w:val="24"/>
        </w:rPr>
      </w:pPr>
    </w:p>
    <w:p w14:paraId="3AFE728A" w14:textId="77777777" w:rsidR="00C50658" w:rsidRDefault="00C50658" w:rsidP="000333D5">
      <w:pPr>
        <w:pStyle w:val="ListNumber"/>
        <w:numPr>
          <w:ilvl w:val="0"/>
          <w:numId w:val="0"/>
        </w:numPr>
        <w:ind w:left="720"/>
        <w:rPr>
          <w:rFonts w:cs="Arial"/>
          <w:szCs w:val="24"/>
        </w:rPr>
      </w:pPr>
    </w:p>
    <w:p w14:paraId="4E7CE948" w14:textId="7DEB7AD1" w:rsidR="00C50658" w:rsidRPr="00C50658" w:rsidRDefault="00C50658" w:rsidP="000333D5">
      <w:pPr>
        <w:pStyle w:val="ListNumber"/>
        <w:numPr>
          <w:ilvl w:val="0"/>
          <w:numId w:val="0"/>
        </w:numPr>
        <w:ind w:left="720"/>
        <w:rPr>
          <w:rFonts w:cs="Arial"/>
          <w:b/>
          <w:szCs w:val="24"/>
        </w:rPr>
      </w:pPr>
      <w:r w:rsidRPr="00C50658">
        <w:rPr>
          <w:rFonts w:cs="Arial"/>
          <w:b/>
          <w:szCs w:val="24"/>
        </w:rPr>
        <w:t xml:space="preserve">Gender Pay Gap Data as </w:t>
      </w:r>
      <w:proofErr w:type="gramStart"/>
      <w:r w:rsidRPr="00C50658">
        <w:rPr>
          <w:rFonts w:cs="Arial"/>
          <w:b/>
          <w:szCs w:val="24"/>
        </w:rPr>
        <w:t>at</w:t>
      </w:r>
      <w:proofErr w:type="gramEnd"/>
      <w:r w:rsidRPr="00C50658">
        <w:rPr>
          <w:rFonts w:cs="Arial"/>
          <w:b/>
          <w:szCs w:val="24"/>
        </w:rPr>
        <w:t xml:space="preserve"> </w:t>
      </w:r>
      <w:r w:rsidR="00161486">
        <w:rPr>
          <w:rFonts w:cs="Arial"/>
          <w:b/>
          <w:szCs w:val="24"/>
        </w:rPr>
        <w:t>5</w:t>
      </w:r>
      <w:r w:rsidRPr="00C50658">
        <w:rPr>
          <w:rFonts w:cs="Arial"/>
          <w:b/>
          <w:szCs w:val="24"/>
          <w:vertAlign w:val="superscript"/>
        </w:rPr>
        <w:t>th</w:t>
      </w:r>
      <w:r w:rsidRPr="00C50658">
        <w:rPr>
          <w:rFonts w:cs="Arial"/>
          <w:b/>
          <w:szCs w:val="24"/>
        </w:rPr>
        <w:t xml:space="preserve"> April 20</w:t>
      </w:r>
      <w:r w:rsidR="004B290D">
        <w:rPr>
          <w:rFonts w:cs="Arial"/>
          <w:b/>
          <w:szCs w:val="24"/>
        </w:rPr>
        <w:t>2</w:t>
      </w:r>
      <w:r w:rsidR="006F0854">
        <w:rPr>
          <w:rFonts w:cs="Arial"/>
          <w:b/>
          <w:szCs w:val="24"/>
        </w:rPr>
        <w:t>1</w:t>
      </w:r>
    </w:p>
    <w:p w14:paraId="290E3E22" w14:textId="77777777" w:rsidR="00281219" w:rsidRDefault="00281219" w:rsidP="000333D5">
      <w:pPr>
        <w:pStyle w:val="ListNumber"/>
        <w:numPr>
          <w:ilvl w:val="0"/>
          <w:numId w:val="0"/>
        </w:numPr>
        <w:ind w:left="720"/>
        <w:rPr>
          <w:rFonts w:cs="Arial"/>
          <w:szCs w:val="24"/>
        </w:rPr>
      </w:pPr>
    </w:p>
    <w:p w14:paraId="22726310" w14:textId="5AFCD15A" w:rsidR="000333D5" w:rsidRPr="000333D5" w:rsidRDefault="004B0BD5" w:rsidP="000333D5">
      <w:pPr>
        <w:pStyle w:val="ListNumber"/>
        <w:numPr>
          <w:ilvl w:val="0"/>
          <w:numId w:val="0"/>
        </w:numPr>
        <w:ind w:left="720"/>
        <w:rPr>
          <w:rFonts w:cs="Arial"/>
          <w:szCs w:val="24"/>
        </w:rPr>
      </w:pPr>
      <w:r w:rsidRPr="004B0BD5">
        <w:rPr>
          <w:rFonts w:cs="Arial"/>
          <w:szCs w:val="24"/>
        </w:rPr>
        <w:t>South Tyneside</w:t>
      </w:r>
      <w:r>
        <w:rPr>
          <w:rFonts w:cs="Arial"/>
          <w:szCs w:val="24"/>
        </w:rPr>
        <w:t xml:space="preserve"> Homes</w:t>
      </w:r>
      <w:r w:rsidR="000333D5" w:rsidRPr="000333D5">
        <w:rPr>
          <w:rFonts w:cs="Arial"/>
          <w:szCs w:val="24"/>
        </w:rPr>
        <w:t xml:space="preserve"> collected data on </w:t>
      </w:r>
      <w:r w:rsidR="00161486">
        <w:rPr>
          <w:rFonts w:cs="Arial"/>
          <w:szCs w:val="24"/>
        </w:rPr>
        <w:t>5</w:t>
      </w:r>
      <w:r w:rsidR="00F40DD0" w:rsidRPr="00F40DD0">
        <w:rPr>
          <w:rFonts w:cs="Arial"/>
          <w:szCs w:val="24"/>
          <w:vertAlign w:val="superscript"/>
        </w:rPr>
        <w:t>th</w:t>
      </w:r>
      <w:r w:rsidR="00F40DD0">
        <w:rPr>
          <w:rFonts w:cs="Arial"/>
          <w:szCs w:val="24"/>
        </w:rPr>
        <w:t xml:space="preserve"> April</w:t>
      </w:r>
      <w:r w:rsidR="000333D5" w:rsidRPr="000333D5">
        <w:rPr>
          <w:rFonts w:cs="Arial"/>
          <w:szCs w:val="24"/>
        </w:rPr>
        <w:t xml:space="preserve"> 20</w:t>
      </w:r>
      <w:r w:rsidR="004B290D">
        <w:rPr>
          <w:rFonts w:cs="Arial"/>
          <w:szCs w:val="24"/>
        </w:rPr>
        <w:t>2</w:t>
      </w:r>
      <w:r w:rsidR="006F0854">
        <w:rPr>
          <w:rFonts w:cs="Arial"/>
          <w:szCs w:val="24"/>
        </w:rPr>
        <w:t>1</w:t>
      </w:r>
      <w:r w:rsidR="000333D5" w:rsidRPr="000333D5">
        <w:rPr>
          <w:rFonts w:cs="Arial"/>
          <w:szCs w:val="24"/>
        </w:rPr>
        <w:t xml:space="preserve"> at which time our workforce </w:t>
      </w:r>
      <w:r w:rsidR="003C5551">
        <w:rPr>
          <w:rFonts w:cs="Arial"/>
          <w:szCs w:val="24"/>
        </w:rPr>
        <w:t xml:space="preserve">(full pay relevant employees) </w:t>
      </w:r>
      <w:r w:rsidR="000333D5" w:rsidRPr="000333D5">
        <w:rPr>
          <w:rFonts w:cs="Arial"/>
          <w:szCs w:val="24"/>
        </w:rPr>
        <w:t xml:space="preserve">consisted of </w:t>
      </w:r>
      <w:r w:rsidR="006F0854">
        <w:rPr>
          <w:rFonts w:cs="Arial"/>
          <w:szCs w:val="24"/>
        </w:rPr>
        <w:t>424</w:t>
      </w:r>
      <w:r w:rsidR="000333D5" w:rsidRPr="000333D5">
        <w:rPr>
          <w:rFonts w:cs="Arial"/>
          <w:szCs w:val="24"/>
        </w:rPr>
        <w:t xml:space="preserve"> men and </w:t>
      </w:r>
      <w:r w:rsidR="006F0854">
        <w:rPr>
          <w:rFonts w:cs="Arial"/>
          <w:szCs w:val="24"/>
        </w:rPr>
        <w:t>185</w:t>
      </w:r>
      <w:r w:rsidR="006E62A8">
        <w:rPr>
          <w:rFonts w:cs="Arial"/>
          <w:szCs w:val="24"/>
        </w:rPr>
        <w:t xml:space="preserve"> wome</w:t>
      </w:r>
      <w:r w:rsidR="000333D5" w:rsidRPr="000333D5">
        <w:rPr>
          <w:rFonts w:cs="Arial"/>
          <w:szCs w:val="24"/>
        </w:rPr>
        <w:t>n (</w:t>
      </w:r>
      <w:r w:rsidR="006F0854">
        <w:rPr>
          <w:rFonts w:cs="Arial"/>
          <w:szCs w:val="24"/>
        </w:rPr>
        <w:t>70</w:t>
      </w:r>
      <w:r w:rsidR="00986BC0">
        <w:rPr>
          <w:rFonts w:cs="Arial"/>
          <w:szCs w:val="24"/>
        </w:rPr>
        <w:t>%</w:t>
      </w:r>
      <w:r w:rsidR="00281219">
        <w:rPr>
          <w:rFonts w:cs="Arial"/>
          <w:szCs w:val="24"/>
        </w:rPr>
        <w:t xml:space="preserve"> </w:t>
      </w:r>
      <w:r w:rsidR="000333D5" w:rsidRPr="000333D5">
        <w:rPr>
          <w:rFonts w:cs="Arial"/>
          <w:szCs w:val="24"/>
        </w:rPr>
        <w:t>/</w:t>
      </w:r>
      <w:r w:rsidR="00281219">
        <w:rPr>
          <w:rFonts w:cs="Arial"/>
          <w:szCs w:val="24"/>
        </w:rPr>
        <w:t xml:space="preserve"> </w:t>
      </w:r>
      <w:r w:rsidR="006F0854">
        <w:rPr>
          <w:rFonts w:cs="Arial"/>
          <w:szCs w:val="24"/>
        </w:rPr>
        <w:t>30</w:t>
      </w:r>
      <w:r w:rsidR="000333D5" w:rsidRPr="000333D5">
        <w:rPr>
          <w:rFonts w:cs="Arial"/>
          <w:szCs w:val="24"/>
        </w:rPr>
        <w:t xml:space="preserve">% respectively).  </w:t>
      </w:r>
      <w:r w:rsidR="00A10F39">
        <w:rPr>
          <w:rFonts w:cs="Arial"/>
          <w:szCs w:val="24"/>
        </w:rPr>
        <w:t>Please note there is an annual pay award pending.</w:t>
      </w:r>
    </w:p>
    <w:p w14:paraId="194F25F2" w14:textId="77777777" w:rsidR="000333D5" w:rsidRPr="000333D5" w:rsidRDefault="000333D5" w:rsidP="000333D5">
      <w:pPr>
        <w:pStyle w:val="ListNumber"/>
        <w:numPr>
          <w:ilvl w:val="0"/>
          <w:numId w:val="0"/>
        </w:numPr>
        <w:ind w:left="720"/>
        <w:rPr>
          <w:rFonts w:cs="Arial"/>
          <w:szCs w:val="24"/>
        </w:rPr>
      </w:pPr>
    </w:p>
    <w:p w14:paraId="0C6F732F" w14:textId="2BE3D570" w:rsidR="000333D5" w:rsidRPr="00890B38" w:rsidRDefault="000333D5" w:rsidP="000333D5">
      <w:pPr>
        <w:spacing w:line="360" w:lineRule="auto"/>
        <w:ind w:left="720"/>
        <w:rPr>
          <w:rFonts w:cs="Arial"/>
          <w:color w:val="FF0000"/>
          <w:sz w:val="24"/>
          <w:szCs w:val="24"/>
        </w:rPr>
      </w:pPr>
      <w:r w:rsidRPr="000333D5">
        <w:rPr>
          <w:rFonts w:cs="Arial"/>
          <w:sz w:val="24"/>
          <w:szCs w:val="24"/>
        </w:rPr>
        <w:t xml:space="preserve">The figures in the table below show that the </w:t>
      </w:r>
      <w:r w:rsidR="004B0BD5">
        <w:rPr>
          <w:rFonts w:cs="Arial"/>
          <w:sz w:val="24"/>
          <w:szCs w:val="24"/>
        </w:rPr>
        <w:t>Company</w:t>
      </w:r>
      <w:r w:rsidRPr="000333D5">
        <w:rPr>
          <w:rFonts w:cs="Arial"/>
          <w:sz w:val="24"/>
          <w:szCs w:val="24"/>
        </w:rPr>
        <w:t xml:space="preserve"> has a mean gender pay gap of </w:t>
      </w:r>
      <w:r w:rsidR="006F0854">
        <w:rPr>
          <w:rFonts w:cs="Arial"/>
          <w:sz w:val="24"/>
          <w:szCs w:val="24"/>
        </w:rPr>
        <w:t>4.</w:t>
      </w:r>
      <w:r w:rsidR="00C864D9">
        <w:rPr>
          <w:rFonts w:cs="Arial"/>
          <w:sz w:val="24"/>
          <w:szCs w:val="24"/>
        </w:rPr>
        <w:t>34</w:t>
      </w:r>
      <w:r w:rsidRPr="000333D5">
        <w:rPr>
          <w:rFonts w:cs="Arial"/>
          <w:sz w:val="24"/>
          <w:szCs w:val="24"/>
        </w:rPr>
        <w:t xml:space="preserve">% which is the difference between </w:t>
      </w:r>
      <w:r w:rsidR="006910AD">
        <w:rPr>
          <w:rFonts w:cs="Arial"/>
          <w:sz w:val="24"/>
          <w:szCs w:val="24"/>
        </w:rPr>
        <w:t xml:space="preserve">the </w:t>
      </w:r>
      <w:r w:rsidRPr="000333D5">
        <w:rPr>
          <w:rFonts w:cs="Arial"/>
          <w:sz w:val="24"/>
          <w:szCs w:val="24"/>
        </w:rPr>
        <w:t xml:space="preserve">mean (average) hourly rate of pay of male and female full pay relevant employees.  </w:t>
      </w:r>
      <w:r w:rsidR="00986BC0">
        <w:rPr>
          <w:rFonts w:cs="Arial"/>
          <w:sz w:val="24"/>
          <w:szCs w:val="24"/>
        </w:rPr>
        <w:t xml:space="preserve">This </w:t>
      </w:r>
      <w:r w:rsidR="00890B38">
        <w:rPr>
          <w:rFonts w:cs="Arial"/>
          <w:sz w:val="24"/>
          <w:szCs w:val="24"/>
        </w:rPr>
        <w:t>is a</w:t>
      </w:r>
      <w:r w:rsidR="006F0854">
        <w:rPr>
          <w:rFonts w:cs="Arial"/>
          <w:sz w:val="24"/>
          <w:szCs w:val="24"/>
        </w:rPr>
        <w:t>n</w:t>
      </w:r>
      <w:r w:rsidR="00890B38">
        <w:rPr>
          <w:rFonts w:cs="Arial"/>
          <w:sz w:val="24"/>
          <w:szCs w:val="24"/>
        </w:rPr>
        <w:t xml:space="preserve"> </w:t>
      </w:r>
      <w:r w:rsidR="006F0854">
        <w:rPr>
          <w:rFonts w:cs="Arial"/>
          <w:sz w:val="24"/>
          <w:szCs w:val="24"/>
        </w:rPr>
        <w:t>in</w:t>
      </w:r>
      <w:r w:rsidR="00890B38">
        <w:rPr>
          <w:rFonts w:cs="Arial"/>
          <w:sz w:val="24"/>
          <w:szCs w:val="24"/>
        </w:rPr>
        <w:t>crease</w:t>
      </w:r>
      <w:r w:rsidR="00986BC0">
        <w:rPr>
          <w:rFonts w:cs="Arial"/>
          <w:sz w:val="24"/>
          <w:szCs w:val="24"/>
        </w:rPr>
        <w:t xml:space="preserve"> from </w:t>
      </w:r>
      <w:r w:rsidR="006F0854">
        <w:rPr>
          <w:rFonts w:cs="Arial"/>
          <w:sz w:val="24"/>
          <w:szCs w:val="24"/>
        </w:rPr>
        <w:t>3.2</w:t>
      </w:r>
      <w:r w:rsidR="00986BC0">
        <w:rPr>
          <w:rFonts w:cs="Arial"/>
          <w:sz w:val="24"/>
          <w:szCs w:val="24"/>
        </w:rPr>
        <w:t>% in April 20</w:t>
      </w:r>
      <w:r w:rsidR="006F0854">
        <w:rPr>
          <w:rFonts w:cs="Arial"/>
          <w:sz w:val="24"/>
          <w:szCs w:val="24"/>
        </w:rPr>
        <w:t>20</w:t>
      </w:r>
      <w:r w:rsidR="00D43903">
        <w:rPr>
          <w:rFonts w:cs="Arial"/>
          <w:sz w:val="24"/>
          <w:szCs w:val="24"/>
        </w:rPr>
        <w:t xml:space="preserve"> but 1.</w:t>
      </w:r>
      <w:r w:rsidR="007B0BB0">
        <w:rPr>
          <w:rFonts w:cs="Arial"/>
          <w:sz w:val="24"/>
          <w:szCs w:val="24"/>
        </w:rPr>
        <w:t>2</w:t>
      </w:r>
      <w:r w:rsidR="00D43903">
        <w:rPr>
          <w:rFonts w:cs="Arial"/>
          <w:sz w:val="24"/>
          <w:szCs w:val="24"/>
        </w:rPr>
        <w:t>% decrease from April 2017 when the figures were first reported</w:t>
      </w:r>
      <w:r w:rsidR="00986BC0">
        <w:rPr>
          <w:rFonts w:cs="Arial"/>
          <w:sz w:val="24"/>
          <w:szCs w:val="24"/>
        </w:rPr>
        <w:t>.</w:t>
      </w:r>
      <w:r w:rsidR="00671819">
        <w:rPr>
          <w:rFonts w:cs="Arial"/>
          <w:sz w:val="24"/>
          <w:szCs w:val="24"/>
        </w:rPr>
        <w:t xml:space="preserve">  </w:t>
      </w:r>
      <w:r w:rsidRPr="000333D5">
        <w:rPr>
          <w:rFonts w:cs="Arial"/>
          <w:sz w:val="24"/>
          <w:szCs w:val="24"/>
        </w:rPr>
        <w:t>The median gender pay gap is the difference between the median hour</w:t>
      </w:r>
      <w:r w:rsidR="00292F07">
        <w:rPr>
          <w:rFonts w:cs="Arial"/>
          <w:sz w:val="24"/>
          <w:szCs w:val="24"/>
        </w:rPr>
        <w:t>ly</w:t>
      </w:r>
      <w:r w:rsidRPr="000333D5">
        <w:rPr>
          <w:rFonts w:cs="Arial"/>
          <w:sz w:val="24"/>
          <w:szCs w:val="24"/>
        </w:rPr>
        <w:t xml:space="preserve"> rate of male and female full pay relevant employees and is </w:t>
      </w:r>
      <w:r w:rsidR="004B290D">
        <w:rPr>
          <w:rFonts w:cs="Arial"/>
          <w:sz w:val="24"/>
          <w:szCs w:val="24"/>
        </w:rPr>
        <w:t>0</w:t>
      </w:r>
      <w:r w:rsidRPr="000333D5">
        <w:rPr>
          <w:rFonts w:cs="Arial"/>
          <w:sz w:val="24"/>
          <w:szCs w:val="24"/>
        </w:rPr>
        <w:t>%</w:t>
      </w:r>
      <w:r w:rsidR="00986BC0" w:rsidRPr="00F01D92">
        <w:rPr>
          <w:rFonts w:cs="Arial"/>
          <w:sz w:val="24"/>
          <w:szCs w:val="24"/>
        </w:rPr>
        <w:t xml:space="preserve"> which has </w:t>
      </w:r>
      <w:r w:rsidR="00890B38" w:rsidRPr="00F01D92">
        <w:rPr>
          <w:rFonts w:cs="Arial"/>
          <w:sz w:val="24"/>
          <w:szCs w:val="24"/>
        </w:rPr>
        <w:t>de</w:t>
      </w:r>
      <w:r w:rsidR="00986BC0" w:rsidRPr="00F01D92">
        <w:rPr>
          <w:rFonts w:cs="Arial"/>
          <w:sz w:val="24"/>
          <w:szCs w:val="24"/>
        </w:rPr>
        <w:t xml:space="preserve">creased from </w:t>
      </w:r>
      <w:r w:rsidR="006D621F">
        <w:rPr>
          <w:rFonts w:cs="Arial"/>
          <w:sz w:val="24"/>
          <w:szCs w:val="24"/>
        </w:rPr>
        <w:t>0</w:t>
      </w:r>
      <w:r w:rsidR="004B290D">
        <w:rPr>
          <w:rFonts w:cs="Arial"/>
          <w:sz w:val="24"/>
          <w:szCs w:val="24"/>
        </w:rPr>
        <w:t>.9</w:t>
      </w:r>
      <w:r w:rsidR="006D621F">
        <w:rPr>
          <w:rFonts w:cs="Arial"/>
          <w:sz w:val="24"/>
          <w:szCs w:val="24"/>
        </w:rPr>
        <w:t>3</w:t>
      </w:r>
      <w:r w:rsidR="00986BC0" w:rsidRPr="00F01D92">
        <w:rPr>
          <w:rFonts w:cs="Arial"/>
          <w:sz w:val="24"/>
          <w:szCs w:val="24"/>
        </w:rPr>
        <w:t xml:space="preserve">% in April </w:t>
      </w:r>
      <w:r w:rsidR="006D621F">
        <w:rPr>
          <w:rFonts w:cs="Arial"/>
          <w:sz w:val="24"/>
          <w:szCs w:val="24"/>
        </w:rPr>
        <w:t>2020</w:t>
      </w:r>
      <w:r w:rsidRPr="00F01D92">
        <w:rPr>
          <w:rFonts w:cs="Arial"/>
          <w:sz w:val="24"/>
          <w:szCs w:val="24"/>
        </w:rPr>
        <w:t xml:space="preserve">.  </w:t>
      </w:r>
      <w:r w:rsidR="006D621F" w:rsidRPr="00F01D92">
        <w:rPr>
          <w:sz w:val="24"/>
        </w:rPr>
        <w:t xml:space="preserve">The annual survey of hours and earnings (ASHE) gender pay gap tables released by the Office of National Statistics Great Britain in </w:t>
      </w:r>
      <w:r w:rsidR="006D621F">
        <w:rPr>
          <w:sz w:val="24"/>
        </w:rPr>
        <w:t>November</w:t>
      </w:r>
      <w:r w:rsidR="006D621F" w:rsidRPr="00F01D92">
        <w:rPr>
          <w:sz w:val="24"/>
        </w:rPr>
        <w:t xml:space="preserve"> 20</w:t>
      </w:r>
      <w:r w:rsidR="006D621F">
        <w:rPr>
          <w:sz w:val="24"/>
        </w:rPr>
        <w:t>21</w:t>
      </w:r>
      <w:r w:rsidR="006D621F" w:rsidRPr="00F01D92">
        <w:rPr>
          <w:sz w:val="24"/>
        </w:rPr>
        <w:t xml:space="preserve"> shows an average mean gender pay gap across all employers</w:t>
      </w:r>
      <w:r w:rsidR="006D621F">
        <w:rPr>
          <w:sz w:val="24"/>
        </w:rPr>
        <w:t xml:space="preserve"> in the Public Sector</w:t>
      </w:r>
      <w:r w:rsidR="006D621F" w:rsidRPr="00F01D92">
        <w:rPr>
          <w:sz w:val="24"/>
        </w:rPr>
        <w:t xml:space="preserve"> of </w:t>
      </w:r>
      <w:r w:rsidR="006D621F">
        <w:rPr>
          <w:sz w:val="24"/>
        </w:rPr>
        <w:t>14.8</w:t>
      </w:r>
      <w:r w:rsidR="006D621F" w:rsidRPr="00F01D92">
        <w:rPr>
          <w:sz w:val="24"/>
        </w:rPr>
        <w:t xml:space="preserve">% and a median gender pay gap of </w:t>
      </w:r>
      <w:r w:rsidR="006D621F">
        <w:rPr>
          <w:sz w:val="24"/>
        </w:rPr>
        <w:t>18</w:t>
      </w:r>
      <w:r w:rsidR="006D621F" w:rsidRPr="00F01D92">
        <w:rPr>
          <w:sz w:val="24"/>
        </w:rPr>
        <w:t>%</w:t>
      </w:r>
      <w:r w:rsidR="006D621F">
        <w:rPr>
          <w:sz w:val="24"/>
        </w:rPr>
        <w:t xml:space="preserve"> </w:t>
      </w:r>
      <w:r w:rsidR="00986BC0" w:rsidRPr="00F01D92">
        <w:rPr>
          <w:sz w:val="24"/>
        </w:rPr>
        <w:t>therefore the Company remains well below the national average.</w:t>
      </w:r>
      <w:r w:rsidR="006D621F" w:rsidRPr="006D621F">
        <w:rPr>
          <w:sz w:val="24"/>
        </w:rPr>
        <w:t xml:space="preserve"> </w:t>
      </w:r>
    </w:p>
    <w:p w14:paraId="2AA28361" w14:textId="77777777" w:rsidR="00DF44B2" w:rsidRDefault="00DF44B2" w:rsidP="000333D5">
      <w:pPr>
        <w:spacing w:line="360" w:lineRule="auto"/>
        <w:ind w:left="720"/>
        <w:rPr>
          <w:rFonts w:cs="Arial"/>
          <w:sz w:val="24"/>
          <w:szCs w:val="24"/>
        </w:rPr>
      </w:pPr>
    </w:p>
    <w:p w14:paraId="3796E7A5" w14:textId="77777777" w:rsidR="00DF44B2" w:rsidRPr="000333D5" w:rsidRDefault="00DF44B2" w:rsidP="00DF44B2">
      <w:pPr>
        <w:spacing w:line="360" w:lineRule="auto"/>
        <w:ind w:left="720"/>
        <w:rPr>
          <w:rFonts w:cs="Arial"/>
          <w:sz w:val="24"/>
          <w:szCs w:val="24"/>
        </w:rPr>
      </w:pPr>
      <w:r w:rsidRPr="000333D5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Company</w:t>
      </w:r>
      <w:r w:rsidRPr="000333D5">
        <w:rPr>
          <w:rFonts w:cs="Arial"/>
          <w:sz w:val="24"/>
          <w:szCs w:val="24"/>
        </w:rPr>
        <w:t xml:space="preserve"> does not pay bonus payments and therefore does not have a gender pay gap </w:t>
      </w:r>
      <w:r w:rsidR="00FF61C5">
        <w:rPr>
          <w:rFonts w:cs="Arial"/>
          <w:sz w:val="24"/>
          <w:szCs w:val="24"/>
        </w:rPr>
        <w:t>to report</w:t>
      </w:r>
      <w:r w:rsidRPr="000333D5">
        <w:rPr>
          <w:rFonts w:cs="Arial"/>
          <w:sz w:val="24"/>
          <w:szCs w:val="24"/>
        </w:rPr>
        <w:t>.</w:t>
      </w:r>
    </w:p>
    <w:p w14:paraId="334182C1" w14:textId="77777777" w:rsidR="00DF44B2" w:rsidRPr="000333D5" w:rsidRDefault="00DF44B2" w:rsidP="000333D5">
      <w:pPr>
        <w:spacing w:line="360" w:lineRule="auto"/>
        <w:ind w:left="720"/>
        <w:rPr>
          <w:rFonts w:cs="Arial"/>
          <w:sz w:val="24"/>
          <w:szCs w:val="24"/>
        </w:rPr>
      </w:pPr>
    </w:p>
    <w:tbl>
      <w:tblPr>
        <w:tblW w:w="12447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583"/>
        <w:gridCol w:w="1583"/>
        <w:gridCol w:w="1583"/>
        <w:gridCol w:w="1583"/>
        <w:gridCol w:w="1583"/>
        <w:gridCol w:w="1584"/>
      </w:tblGrid>
      <w:tr w:rsidR="00D43903" w:rsidRPr="000333D5" w14:paraId="2407525F" w14:textId="77777777" w:rsidTr="00D43903">
        <w:tc>
          <w:tcPr>
            <w:tcW w:w="2948" w:type="dxa"/>
            <w:shd w:val="clear" w:color="auto" w:fill="D9D9D9"/>
          </w:tcPr>
          <w:p w14:paraId="7341E979" w14:textId="77777777" w:rsidR="00D43903" w:rsidRPr="000333D5" w:rsidRDefault="00D43903" w:rsidP="000333D5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D9D9D9"/>
          </w:tcPr>
          <w:p w14:paraId="42A6AC1C" w14:textId="77777777" w:rsidR="00D43903" w:rsidRPr="004B290D" w:rsidRDefault="00D43903" w:rsidP="0066475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4B290D">
              <w:rPr>
                <w:b/>
                <w:sz w:val="24"/>
                <w:szCs w:val="24"/>
              </w:rPr>
              <w:t xml:space="preserve">Women’s earnings </w:t>
            </w:r>
            <w:proofErr w:type="gramStart"/>
            <w:r w:rsidRPr="004B290D">
              <w:rPr>
                <w:b/>
                <w:sz w:val="24"/>
                <w:szCs w:val="24"/>
              </w:rPr>
              <w:t>at</w:t>
            </w:r>
            <w:proofErr w:type="gramEnd"/>
            <w:r w:rsidRPr="004B290D">
              <w:rPr>
                <w:b/>
                <w:sz w:val="24"/>
                <w:szCs w:val="24"/>
              </w:rPr>
              <w:t xml:space="preserve"> 5th April 2017 are</w:t>
            </w:r>
          </w:p>
        </w:tc>
        <w:tc>
          <w:tcPr>
            <w:tcW w:w="1583" w:type="dxa"/>
            <w:shd w:val="clear" w:color="auto" w:fill="D9D9D9"/>
          </w:tcPr>
          <w:p w14:paraId="0F259068" w14:textId="77777777" w:rsidR="00D43903" w:rsidRPr="00654D3E" w:rsidRDefault="00D43903" w:rsidP="00890B3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654D3E">
              <w:rPr>
                <w:b/>
                <w:sz w:val="24"/>
                <w:szCs w:val="24"/>
              </w:rPr>
              <w:t xml:space="preserve">Women’s earnings </w:t>
            </w:r>
            <w:proofErr w:type="gramStart"/>
            <w:r w:rsidRPr="00654D3E">
              <w:rPr>
                <w:b/>
                <w:sz w:val="24"/>
                <w:szCs w:val="24"/>
              </w:rPr>
              <w:t>at</w:t>
            </w:r>
            <w:proofErr w:type="gramEnd"/>
            <w:r w:rsidRPr="00654D3E">
              <w:rPr>
                <w:b/>
                <w:sz w:val="24"/>
                <w:szCs w:val="24"/>
              </w:rPr>
              <w:t xml:space="preserve"> 5th April 2018 are</w:t>
            </w:r>
          </w:p>
        </w:tc>
        <w:tc>
          <w:tcPr>
            <w:tcW w:w="1583" w:type="dxa"/>
            <w:shd w:val="clear" w:color="auto" w:fill="D9D9D9"/>
          </w:tcPr>
          <w:p w14:paraId="2F219E47" w14:textId="77777777" w:rsidR="00D43903" w:rsidRPr="00654D3E" w:rsidRDefault="00D43903" w:rsidP="00890B38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 xml:space="preserve">Women’s earnings </w:t>
            </w:r>
            <w:proofErr w:type="gramStart"/>
            <w:r w:rsidRPr="00654D3E">
              <w:rPr>
                <w:rFonts w:cs="Arial"/>
                <w:b/>
                <w:sz w:val="24"/>
                <w:szCs w:val="24"/>
              </w:rPr>
              <w:t>at</w:t>
            </w:r>
            <w:proofErr w:type="gramEnd"/>
            <w:r w:rsidRPr="00654D3E">
              <w:rPr>
                <w:rFonts w:cs="Arial"/>
                <w:b/>
                <w:sz w:val="24"/>
                <w:szCs w:val="24"/>
              </w:rPr>
              <w:t xml:space="preserve"> 5</w:t>
            </w:r>
            <w:r w:rsidRPr="00654D3E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 w:rsidRPr="00654D3E">
              <w:rPr>
                <w:rFonts w:cs="Arial"/>
                <w:b/>
                <w:sz w:val="24"/>
                <w:szCs w:val="24"/>
              </w:rPr>
              <w:t xml:space="preserve"> April 2019 are</w:t>
            </w:r>
          </w:p>
        </w:tc>
        <w:tc>
          <w:tcPr>
            <w:tcW w:w="1583" w:type="dxa"/>
            <w:shd w:val="clear" w:color="auto" w:fill="D9D9D9"/>
          </w:tcPr>
          <w:p w14:paraId="4E355DA5" w14:textId="309ED20A" w:rsidR="00D43903" w:rsidRPr="00654D3E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Women’s earning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at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5</w:t>
            </w:r>
            <w:r w:rsidRPr="004B290D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April 2020 are</w:t>
            </w:r>
          </w:p>
        </w:tc>
        <w:tc>
          <w:tcPr>
            <w:tcW w:w="1583" w:type="dxa"/>
            <w:shd w:val="clear" w:color="auto" w:fill="D9D9D9"/>
          </w:tcPr>
          <w:p w14:paraId="5EDEAB03" w14:textId="3733DE18" w:rsidR="00D43903" w:rsidRPr="00654D3E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Women’s earning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at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5</w:t>
            </w:r>
            <w:r w:rsidRPr="004B290D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April 2021 are</w:t>
            </w:r>
          </w:p>
        </w:tc>
        <w:tc>
          <w:tcPr>
            <w:tcW w:w="1584" w:type="dxa"/>
            <w:shd w:val="clear" w:color="auto" w:fill="D9D9D9"/>
          </w:tcPr>
          <w:p w14:paraId="37C1E1FC" w14:textId="7A75702D" w:rsidR="00D43903" w:rsidRPr="00664758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b/>
                <w:color w:val="FF0000"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Varian</w:t>
            </w:r>
            <w:r w:rsidRPr="0077414E">
              <w:rPr>
                <w:rFonts w:cs="Arial"/>
                <w:b/>
                <w:sz w:val="24"/>
                <w:szCs w:val="24"/>
              </w:rPr>
              <w:t>ce 20</w:t>
            </w:r>
            <w:r>
              <w:rPr>
                <w:rFonts w:cs="Arial"/>
                <w:b/>
                <w:sz w:val="24"/>
                <w:szCs w:val="24"/>
              </w:rPr>
              <w:t>20</w:t>
            </w:r>
            <w:r w:rsidRPr="0077414E">
              <w:rPr>
                <w:rFonts w:cs="Arial"/>
                <w:b/>
                <w:sz w:val="24"/>
                <w:szCs w:val="24"/>
              </w:rPr>
              <w:t xml:space="preserve"> – 202</w:t>
            </w: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</w:tr>
      <w:tr w:rsidR="00D43903" w:rsidRPr="000333D5" w14:paraId="11BDFB64" w14:textId="77777777" w:rsidTr="00D43903">
        <w:tc>
          <w:tcPr>
            <w:tcW w:w="2948" w:type="dxa"/>
            <w:shd w:val="clear" w:color="auto" w:fill="D9D9D9"/>
          </w:tcPr>
          <w:p w14:paraId="47EFC779" w14:textId="77777777" w:rsidR="00D43903" w:rsidRPr="00654D3E" w:rsidRDefault="00D43903" w:rsidP="000333D5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Mean gender pay gap in hourly pay</w:t>
            </w:r>
          </w:p>
        </w:tc>
        <w:tc>
          <w:tcPr>
            <w:tcW w:w="1583" w:type="dxa"/>
          </w:tcPr>
          <w:p w14:paraId="54C4594D" w14:textId="77777777" w:rsidR="00D43903" w:rsidRPr="004B290D" w:rsidRDefault="00D43903" w:rsidP="000124FC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4B290D">
              <w:rPr>
                <w:rFonts w:cs="Arial"/>
                <w:sz w:val="24"/>
                <w:szCs w:val="24"/>
              </w:rPr>
              <w:t>5.54% lower</w:t>
            </w:r>
          </w:p>
        </w:tc>
        <w:tc>
          <w:tcPr>
            <w:tcW w:w="1583" w:type="dxa"/>
          </w:tcPr>
          <w:p w14:paraId="0BA2D1D7" w14:textId="77777777" w:rsidR="00D43903" w:rsidRPr="00890B38" w:rsidRDefault="00D43903" w:rsidP="009A1097">
            <w:pPr>
              <w:rPr>
                <w:sz w:val="24"/>
                <w:szCs w:val="24"/>
              </w:rPr>
            </w:pPr>
            <w:r w:rsidRPr="00890B38">
              <w:rPr>
                <w:sz w:val="24"/>
                <w:szCs w:val="24"/>
              </w:rPr>
              <w:t>5.04% lower</w:t>
            </w:r>
          </w:p>
        </w:tc>
        <w:tc>
          <w:tcPr>
            <w:tcW w:w="1583" w:type="dxa"/>
          </w:tcPr>
          <w:p w14:paraId="0058EA0B" w14:textId="77777777" w:rsidR="00D43903" w:rsidRPr="000333D5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5.38</w:t>
            </w:r>
            <w:r w:rsidRPr="000333D5">
              <w:rPr>
                <w:rFonts w:cs="Arial"/>
                <w:sz w:val="24"/>
                <w:szCs w:val="24"/>
              </w:rPr>
              <w:t>% lower</w:t>
            </w:r>
          </w:p>
        </w:tc>
        <w:tc>
          <w:tcPr>
            <w:tcW w:w="1583" w:type="dxa"/>
          </w:tcPr>
          <w:p w14:paraId="3ECD1853" w14:textId="2D544FDC" w:rsidR="00D43903" w:rsidRDefault="00D43903" w:rsidP="00890B38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3.20% lower</w:t>
            </w:r>
          </w:p>
        </w:tc>
        <w:tc>
          <w:tcPr>
            <w:tcW w:w="1583" w:type="dxa"/>
          </w:tcPr>
          <w:p w14:paraId="62C44891" w14:textId="6D7A0F28" w:rsidR="00D43903" w:rsidRDefault="00D43903" w:rsidP="00890B38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</w:t>
            </w:r>
            <w:r w:rsidR="007B0BB0">
              <w:rPr>
                <w:rFonts w:cs="Arial"/>
                <w:sz w:val="24"/>
                <w:szCs w:val="24"/>
              </w:rPr>
              <w:t>34</w:t>
            </w:r>
            <w:r>
              <w:rPr>
                <w:rFonts w:cs="Arial"/>
                <w:sz w:val="24"/>
                <w:szCs w:val="24"/>
              </w:rPr>
              <w:t>% lower</w:t>
            </w:r>
          </w:p>
        </w:tc>
        <w:tc>
          <w:tcPr>
            <w:tcW w:w="1584" w:type="dxa"/>
          </w:tcPr>
          <w:p w14:paraId="6E175FAA" w14:textId="6465C5E6" w:rsidR="00D43903" w:rsidRDefault="007B0BB0" w:rsidP="00890B38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1.14</w:t>
            </w:r>
            <w:r w:rsidR="00D43903">
              <w:rPr>
                <w:rFonts w:cs="Arial"/>
                <w:sz w:val="24"/>
                <w:szCs w:val="24"/>
              </w:rPr>
              <w:t xml:space="preserve"> increase</w:t>
            </w:r>
          </w:p>
        </w:tc>
      </w:tr>
      <w:tr w:rsidR="00D43903" w:rsidRPr="000333D5" w14:paraId="6CB5070F" w14:textId="77777777" w:rsidTr="00D43903">
        <w:tc>
          <w:tcPr>
            <w:tcW w:w="2948" w:type="dxa"/>
            <w:shd w:val="clear" w:color="auto" w:fill="D9D9D9"/>
          </w:tcPr>
          <w:p w14:paraId="4061EC24" w14:textId="77777777" w:rsidR="00D43903" w:rsidRPr="00654D3E" w:rsidRDefault="00D43903" w:rsidP="000333D5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Median gender pay gap in hourly pay</w:t>
            </w:r>
          </w:p>
        </w:tc>
        <w:tc>
          <w:tcPr>
            <w:tcW w:w="1583" w:type="dxa"/>
          </w:tcPr>
          <w:p w14:paraId="07ACFF7E" w14:textId="77777777" w:rsidR="00D43903" w:rsidRPr="004B290D" w:rsidRDefault="00D43903" w:rsidP="000124FC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4B290D">
              <w:rPr>
                <w:rFonts w:cs="Arial"/>
                <w:sz w:val="24"/>
                <w:szCs w:val="24"/>
              </w:rPr>
              <w:t>0% lower</w:t>
            </w:r>
          </w:p>
        </w:tc>
        <w:tc>
          <w:tcPr>
            <w:tcW w:w="1583" w:type="dxa"/>
          </w:tcPr>
          <w:p w14:paraId="12D23328" w14:textId="77777777" w:rsidR="00D43903" w:rsidRPr="00890B38" w:rsidRDefault="00D43903" w:rsidP="009A1097">
            <w:pPr>
              <w:rPr>
                <w:sz w:val="24"/>
                <w:szCs w:val="24"/>
              </w:rPr>
            </w:pPr>
            <w:r w:rsidRPr="00890B38">
              <w:rPr>
                <w:sz w:val="24"/>
                <w:szCs w:val="24"/>
              </w:rPr>
              <w:t>6.29% lower</w:t>
            </w:r>
          </w:p>
        </w:tc>
        <w:tc>
          <w:tcPr>
            <w:tcW w:w="1583" w:type="dxa"/>
          </w:tcPr>
          <w:p w14:paraId="250149B8" w14:textId="77777777" w:rsidR="00D43903" w:rsidRPr="000333D5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1.9</w:t>
            </w:r>
            <w:r w:rsidRPr="000333D5">
              <w:rPr>
                <w:rFonts w:cs="Arial"/>
                <w:sz w:val="24"/>
                <w:szCs w:val="24"/>
              </w:rPr>
              <w:t>% lower</w:t>
            </w:r>
          </w:p>
        </w:tc>
        <w:tc>
          <w:tcPr>
            <w:tcW w:w="1583" w:type="dxa"/>
          </w:tcPr>
          <w:p w14:paraId="565FBA4A" w14:textId="5A985398" w:rsidR="00D43903" w:rsidRDefault="00D43903" w:rsidP="00890B38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0.93% lower</w:t>
            </w:r>
          </w:p>
        </w:tc>
        <w:tc>
          <w:tcPr>
            <w:tcW w:w="1583" w:type="dxa"/>
          </w:tcPr>
          <w:p w14:paraId="45D8C688" w14:textId="15734DCC" w:rsidR="00D43903" w:rsidRDefault="00D43903" w:rsidP="00890B38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0% lower</w:t>
            </w:r>
          </w:p>
        </w:tc>
        <w:tc>
          <w:tcPr>
            <w:tcW w:w="1584" w:type="dxa"/>
          </w:tcPr>
          <w:p w14:paraId="3D75D68F" w14:textId="4BB896DC" w:rsidR="00D43903" w:rsidRDefault="00D43903" w:rsidP="00890B38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0.93 decrease</w:t>
            </w:r>
          </w:p>
        </w:tc>
      </w:tr>
      <w:tr w:rsidR="00D43903" w:rsidRPr="000333D5" w14:paraId="7CBB0D0F" w14:textId="77777777" w:rsidTr="00D43903">
        <w:tc>
          <w:tcPr>
            <w:tcW w:w="2948" w:type="dxa"/>
            <w:shd w:val="clear" w:color="auto" w:fill="D9D9D9"/>
          </w:tcPr>
          <w:p w14:paraId="77DCC5DA" w14:textId="77777777" w:rsidR="00D43903" w:rsidRPr="00654D3E" w:rsidRDefault="00D43903" w:rsidP="000333D5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Difference in mean bonus payments</w:t>
            </w:r>
          </w:p>
        </w:tc>
        <w:tc>
          <w:tcPr>
            <w:tcW w:w="1583" w:type="dxa"/>
          </w:tcPr>
          <w:p w14:paraId="6B9F42B0" w14:textId="77777777" w:rsidR="00D43903" w:rsidRPr="004B290D" w:rsidRDefault="00D43903" w:rsidP="009A1097">
            <w:pPr>
              <w:rPr>
                <w:sz w:val="24"/>
                <w:szCs w:val="24"/>
              </w:rPr>
            </w:pPr>
            <w:r w:rsidRPr="004B290D">
              <w:rPr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57CE5BF0" w14:textId="77777777" w:rsidR="00D43903" w:rsidRPr="00890B38" w:rsidRDefault="00D43903" w:rsidP="009A1097">
            <w:pPr>
              <w:rPr>
                <w:sz w:val="24"/>
                <w:szCs w:val="24"/>
              </w:rPr>
            </w:pPr>
            <w:r w:rsidRPr="00890B38">
              <w:rPr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22A9E5B9" w14:textId="77777777" w:rsidR="00D43903" w:rsidRPr="000333D5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0333D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44A7FCDC" w14:textId="29E32911" w:rsidR="00D43903" w:rsidRDefault="00D43903" w:rsidP="004B290D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7ECDD8C1" w14:textId="037C4B07" w:rsidR="00D43903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6ADEB462" w14:textId="28451F48" w:rsidR="00D43903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43903" w:rsidRPr="000333D5" w14:paraId="55F0E3BC" w14:textId="77777777" w:rsidTr="00D43903">
        <w:tc>
          <w:tcPr>
            <w:tcW w:w="2948" w:type="dxa"/>
            <w:shd w:val="clear" w:color="auto" w:fill="D9D9D9"/>
          </w:tcPr>
          <w:p w14:paraId="2EF0E339" w14:textId="77777777" w:rsidR="00D43903" w:rsidRPr="00654D3E" w:rsidRDefault="00D43903" w:rsidP="000333D5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Difference in median bonus payments</w:t>
            </w:r>
          </w:p>
        </w:tc>
        <w:tc>
          <w:tcPr>
            <w:tcW w:w="1583" w:type="dxa"/>
          </w:tcPr>
          <w:p w14:paraId="6A49D566" w14:textId="77777777" w:rsidR="00D43903" w:rsidRPr="004B290D" w:rsidRDefault="00D43903" w:rsidP="009A1097">
            <w:pPr>
              <w:rPr>
                <w:sz w:val="24"/>
                <w:szCs w:val="24"/>
              </w:rPr>
            </w:pPr>
            <w:r w:rsidRPr="004B290D">
              <w:rPr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2D8CA623" w14:textId="77777777" w:rsidR="00D43903" w:rsidRPr="00890B38" w:rsidRDefault="00D43903" w:rsidP="009A1097">
            <w:pPr>
              <w:rPr>
                <w:sz w:val="24"/>
                <w:szCs w:val="24"/>
              </w:rPr>
            </w:pPr>
            <w:r w:rsidRPr="00890B38">
              <w:rPr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07CE5EC4" w14:textId="77777777" w:rsidR="00D43903" w:rsidRPr="000333D5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0333D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AA8BDC9" w14:textId="0AAB43C0" w:rsidR="00D43903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640796DC" w14:textId="5256FCB2" w:rsidR="00D43903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131634B6" w14:textId="3A016EE2" w:rsidR="00D43903" w:rsidRDefault="00D43903" w:rsidP="00394C90">
            <w:pPr>
              <w:tabs>
                <w:tab w:val="num" w:pos="1440"/>
              </w:tabs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14:paraId="155D974A" w14:textId="77777777" w:rsidR="000333D5" w:rsidRPr="000333D5" w:rsidRDefault="000333D5" w:rsidP="000333D5">
      <w:pPr>
        <w:spacing w:line="360" w:lineRule="auto"/>
        <w:ind w:left="720"/>
        <w:rPr>
          <w:rFonts w:cs="Arial"/>
          <w:sz w:val="24"/>
          <w:szCs w:val="24"/>
        </w:rPr>
      </w:pPr>
    </w:p>
    <w:p w14:paraId="4281AC41" w14:textId="7213B918" w:rsidR="000333D5" w:rsidRPr="0077414E" w:rsidRDefault="000333D5" w:rsidP="000333D5">
      <w:pPr>
        <w:spacing w:line="360" w:lineRule="auto"/>
        <w:ind w:left="720"/>
        <w:rPr>
          <w:rFonts w:cs="Arial"/>
          <w:sz w:val="24"/>
          <w:szCs w:val="24"/>
        </w:rPr>
      </w:pPr>
      <w:r w:rsidRPr="00084B0A">
        <w:rPr>
          <w:rFonts w:cs="Arial"/>
          <w:sz w:val="24"/>
          <w:szCs w:val="24"/>
        </w:rPr>
        <w:t>The proportion of men and wom</w:t>
      </w:r>
      <w:r w:rsidR="006E62A8" w:rsidRPr="00084B0A">
        <w:rPr>
          <w:rFonts w:cs="Arial"/>
          <w:sz w:val="24"/>
          <w:szCs w:val="24"/>
        </w:rPr>
        <w:t>e</w:t>
      </w:r>
      <w:r w:rsidRPr="00084B0A">
        <w:rPr>
          <w:rFonts w:cs="Arial"/>
          <w:sz w:val="24"/>
          <w:szCs w:val="24"/>
        </w:rPr>
        <w:t>n in each pay quartile is shown below</w:t>
      </w:r>
      <w:r w:rsidRPr="0077414E">
        <w:rPr>
          <w:rFonts w:cs="Arial"/>
          <w:sz w:val="24"/>
          <w:szCs w:val="24"/>
        </w:rPr>
        <w:t xml:space="preserve">.  </w:t>
      </w:r>
      <w:r w:rsidR="00FF61C5" w:rsidRPr="0077414E">
        <w:rPr>
          <w:rFonts w:cs="Arial"/>
          <w:sz w:val="24"/>
          <w:szCs w:val="24"/>
        </w:rPr>
        <w:t>5</w:t>
      </w:r>
      <w:r w:rsidR="00D43903">
        <w:rPr>
          <w:rFonts w:cs="Arial"/>
          <w:sz w:val="24"/>
          <w:szCs w:val="24"/>
        </w:rPr>
        <w:t>8</w:t>
      </w:r>
      <w:r w:rsidRPr="0077414E">
        <w:rPr>
          <w:rFonts w:cs="Arial"/>
          <w:sz w:val="24"/>
          <w:szCs w:val="24"/>
        </w:rPr>
        <w:t>% of women (</w:t>
      </w:r>
      <w:r w:rsidR="00D43903">
        <w:rPr>
          <w:rFonts w:cs="Arial"/>
          <w:sz w:val="24"/>
          <w:szCs w:val="24"/>
        </w:rPr>
        <w:t>108</w:t>
      </w:r>
      <w:r w:rsidRPr="0077414E">
        <w:rPr>
          <w:rFonts w:cs="Arial"/>
          <w:sz w:val="24"/>
          <w:szCs w:val="24"/>
        </w:rPr>
        <w:t xml:space="preserve"> employees) are in the lower and lower middle quartiles compared to </w:t>
      </w:r>
      <w:r w:rsidR="004B0BD5" w:rsidRPr="0077414E">
        <w:rPr>
          <w:rFonts w:cs="Arial"/>
          <w:sz w:val="24"/>
          <w:szCs w:val="24"/>
        </w:rPr>
        <w:t>46</w:t>
      </w:r>
      <w:r w:rsidRPr="0077414E">
        <w:rPr>
          <w:rFonts w:cs="Arial"/>
          <w:sz w:val="24"/>
          <w:szCs w:val="24"/>
        </w:rPr>
        <w:t>% (</w:t>
      </w:r>
      <w:r w:rsidR="00D43903">
        <w:rPr>
          <w:rFonts w:cs="Arial"/>
          <w:sz w:val="24"/>
          <w:szCs w:val="24"/>
        </w:rPr>
        <w:t>196</w:t>
      </w:r>
      <w:r w:rsidRPr="0077414E">
        <w:rPr>
          <w:rFonts w:cs="Arial"/>
          <w:sz w:val="24"/>
          <w:szCs w:val="24"/>
        </w:rPr>
        <w:t xml:space="preserve"> employees) of men.  4</w:t>
      </w:r>
      <w:r w:rsidR="00D43903">
        <w:rPr>
          <w:rFonts w:cs="Arial"/>
          <w:sz w:val="24"/>
          <w:szCs w:val="24"/>
        </w:rPr>
        <w:t>2</w:t>
      </w:r>
      <w:r w:rsidRPr="0077414E">
        <w:rPr>
          <w:rFonts w:cs="Arial"/>
          <w:sz w:val="24"/>
          <w:szCs w:val="24"/>
        </w:rPr>
        <w:t>% of women (</w:t>
      </w:r>
      <w:r w:rsidR="00D43903">
        <w:rPr>
          <w:rFonts w:cs="Arial"/>
          <w:sz w:val="24"/>
          <w:szCs w:val="24"/>
        </w:rPr>
        <w:t>77</w:t>
      </w:r>
      <w:r w:rsidRPr="0077414E">
        <w:rPr>
          <w:rFonts w:cs="Arial"/>
          <w:sz w:val="24"/>
          <w:szCs w:val="24"/>
        </w:rPr>
        <w:t xml:space="preserve"> employees) are in the upper middle and upper quartiles compared with </w:t>
      </w:r>
      <w:r w:rsidR="00FF61C5" w:rsidRPr="0077414E">
        <w:rPr>
          <w:rFonts w:cs="Arial"/>
          <w:sz w:val="24"/>
          <w:szCs w:val="24"/>
        </w:rPr>
        <w:t>54</w:t>
      </w:r>
      <w:r w:rsidRPr="0077414E">
        <w:rPr>
          <w:rFonts w:cs="Arial"/>
          <w:sz w:val="24"/>
          <w:szCs w:val="24"/>
        </w:rPr>
        <w:t>% (</w:t>
      </w:r>
      <w:r w:rsidR="00084B0A" w:rsidRPr="0077414E">
        <w:rPr>
          <w:rFonts w:cs="Arial"/>
          <w:sz w:val="24"/>
          <w:szCs w:val="24"/>
        </w:rPr>
        <w:t>22</w:t>
      </w:r>
      <w:r w:rsidR="00D43903">
        <w:rPr>
          <w:rFonts w:cs="Arial"/>
          <w:sz w:val="24"/>
          <w:szCs w:val="24"/>
        </w:rPr>
        <w:t>8</w:t>
      </w:r>
      <w:r w:rsidRPr="0077414E">
        <w:rPr>
          <w:rFonts w:cs="Arial"/>
          <w:sz w:val="24"/>
          <w:szCs w:val="24"/>
        </w:rPr>
        <w:t xml:space="preserve"> employees) of men.</w:t>
      </w:r>
    </w:p>
    <w:p w14:paraId="03BA0033" w14:textId="77777777" w:rsidR="000333D5" w:rsidRPr="000333D5" w:rsidRDefault="000333D5" w:rsidP="000333D5">
      <w:pPr>
        <w:spacing w:line="360" w:lineRule="auto"/>
        <w:ind w:left="720"/>
        <w:rPr>
          <w:rFonts w:cs="Arial"/>
          <w:sz w:val="24"/>
          <w:szCs w:val="24"/>
        </w:rPr>
      </w:pPr>
    </w:p>
    <w:p w14:paraId="11A65C0D" w14:textId="77777777" w:rsidR="000333D5" w:rsidRPr="000333D5" w:rsidRDefault="000333D5" w:rsidP="00FF61C5">
      <w:pPr>
        <w:spacing w:line="360" w:lineRule="auto"/>
        <w:ind w:firstLine="720"/>
        <w:rPr>
          <w:rFonts w:cs="Arial"/>
          <w:sz w:val="24"/>
          <w:szCs w:val="24"/>
        </w:rPr>
      </w:pPr>
      <w:r w:rsidRPr="000333D5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C1B46D" wp14:editId="0D33B84E">
                <wp:simplePos x="0" y="0"/>
                <wp:positionH relativeFrom="column">
                  <wp:posOffset>4775200</wp:posOffset>
                </wp:positionH>
                <wp:positionV relativeFrom="paragraph">
                  <wp:posOffset>1905</wp:posOffset>
                </wp:positionV>
                <wp:extent cx="247650" cy="161925"/>
                <wp:effectExtent l="0" t="0" r="19050" b="476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63DC4" w14:textId="77777777" w:rsidR="000333D5" w:rsidRDefault="000333D5" w:rsidP="00033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1B4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6pt;margin-top:.15pt;width:19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" fillcolor="#4f81bd" stroked="f" strokecolor="#f2f2f2" strokeweight="3pt">
                <v:shadow on="t" color="#243f60" opacity=".5" offset="1pt"/>
                <v:textbox>
                  <w:txbxContent>
                    <w:p w14:paraId="6B063DC4" w14:textId="77777777" w:rsidR="000333D5" w:rsidRDefault="000333D5" w:rsidP="000333D5"/>
                  </w:txbxContent>
                </v:textbox>
              </v:shape>
            </w:pict>
          </mc:Fallback>
        </mc:AlternateContent>
      </w:r>
      <w:r w:rsidRPr="000333D5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241BC" wp14:editId="67108204">
                <wp:simplePos x="0" y="0"/>
                <wp:positionH relativeFrom="column">
                  <wp:posOffset>5727700</wp:posOffset>
                </wp:positionH>
                <wp:positionV relativeFrom="paragraph">
                  <wp:posOffset>20955</wp:posOffset>
                </wp:positionV>
                <wp:extent cx="247650" cy="161925"/>
                <wp:effectExtent l="0" t="0" r="1905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ADEEA" w14:textId="77777777" w:rsidR="000333D5" w:rsidRDefault="000333D5" w:rsidP="00033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241BC" id="Text Box 3" o:spid="_x0000_s1027" type="#_x0000_t202" style="position:absolute;left:0;text-align:left;margin-left:451pt;margin-top:1.65pt;width:19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" fillcolor="#c0504d" stroked="f" strokecolor="#f2f2f2" strokeweight="3pt">
                <v:shadow on="t" color="#622423" opacity=".5" offset="1pt"/>
                <v:textbox>
                  <w:txbxContent>
                    <w:p w14:paraId="656ADEEA" w14:textId="77777777" w:rsidR="000333D5" w:rsidRDefault="000333D5" w:rsidP="000333D5"/>
                  </w:txbxContent>
                </v:textbox>
              </v:shape>
            </w:pict>
          </mc:Fallback>
        </mc:AlternateContent>
      </w:r>
      <w:r w:rsidRPr="000333D5">
        <w:rPr>
          <w:rFonts w:cs="Arial"/>
          <w:sz w:val="24"/>
          <w:szCs w:val="24"/>
        </w:rPr>
        <w:t>Proportion of men and wom</w:t>
      </w:r>
      <w:r w:rsidR="006E62A8">
        <w:rPr>
          <w:rFonts w:cs="Arial"/>
          <w:sz w:val="24"/>
          <w:szCs w:val="24"/>
        </w:rPr>
        <w:t>e</w:t>
      </w:r>
      <w:r w:rsidRPr="000333D5">
        <w:rPr>
          <w:rFonts w:cs="Arial"/>
          <w:sz w:val="24"/>
          <w:szCs w:val="24"/>
        </w:rPr>
        <w:t xml:space="preserve">n in each pay quartile (%) - </w:t>
      </w:r>
      <w:proofErr w:type="gramStart"/>
      <w:r w:rsidRPr="000333D5">
        <w:rPr>
          <w:rFonts w:cs="Arial"/>
          <w:sz w:val="24"/>
          <w:szCs w:val="24"/>
        </w:rPr>
        <w:t xml:space="preserve">Men  </w:t>
      </w:r>
      <w:r w:rsidRPr="000333D5">
        <w:rPr>
          <w:rFonts w:cs="Arial"/>
          <w:sz w:val="24"/>
          <w:szCs w:val="24"/>
        </w:rPr>
        <w:tab/>
      </w:r>
      <w:proofErr w:type="gramEnd"/>
      <w:r w:rsidRPr="000333D5">
        <w:rPr>
          <w:rFonts w:cs="Arial"/>
          <w:sz w:val="24"/>
          <w:szCs w:val="24"/>
        </w:rPr>
        <w:t xml:space="preserve">  Women </w:t>
      </w:r>
    </w:p>
    <w:p w14:paraId="3626290D" w14:textId="77777777" w:rsidR="000333D5" w:rsidRPr="000333D5" w:rsidRDefault="000333D5" w:rsidP="000333D5">
      <w:pPr>
        <w:tabs>
          <w:tab w:val="num" w:pos="1440"/>
        </w:tabs>
        <w:spacing w:line="360" w:lineRule="auto"/>
        <w:ind w:left="1440" w:hanging="1298"/>
        <w:jc w:val="left"/>
        <w:rPr>
          <w:rFonts w:eastAsia="Times New Roman" w:cs="Arial"/>
          <w:sz w:val="24"/>
          <w:szCs w:val="24"/>
          <w:lang w:eastAsia="en-GB"/>
        </w:rPr>
      </w:pPr>
      <w:r w:rsidRPr="000333D5">
        <w:rPr>
          <w:rFonts w:cs="Arial"/>
          <w:sz w:val="24"/>
          <w:szCs w:val="24"/>
        </w:rPr>
        <w:fldChar w:fldCharType="begin"/>
      </w:r>
      <w:r w:rsidRPr="000333D5">
        <w:rPr>
          <w:rFonts w:cs="Arial"/>
          <w:sz w:val="24"/>
          <w:szCs w:val="24"/>
        </w:rPr>
        <w:instrText xml:space="preserve"> LINK </w:instrText>
      </w:r>
      <w:r w:rsidR="0096363C">
        <w:rPr>
          <w:rFonts w:cs="Arial"/>
          <w:sz w:val="24"/>
          <w:szCs w:val="24"/>
        </w:rPr>
        <w:instrText xml:space="preserve">Excel.Sheet.12 "\\\\stc.local\\legacy\\nas5\\ES and D\\Human Resources\\PAY AND CONDITIONS\\Gender Pay Gap Reporting\\Data\\South Tyneside Council\\Working sheet for graphs.xlsx" Sheet1!R6C6:R16C17 </w:instrText>
      </w:r>
      <w:r w:rsidRPr="000333D5">
        <w:rPr>
          <w:rFonts w:cs="Arial"/>
          <w:sz w:val="24"/>
          <w:szCs w:val="24"/>
        </w:rPr>
        <w:instrText xml:space="preserve">\a \f 4 \h  \* MERGEFORMAT </w:instrText>
      </w:r>
      <w:r w:rsidRPr="000333D5">
        <w:rPr>
          <w:rFonts w:cs="Arial"/>
          <w:sz w:val="24"/>
          <w:szCs w:val="24"/>
        </w:rPr>
        <w:fldChar w:fldCharType="separate"/>
      </w:r>
    </w:p>
    <w:p w14:paraId="7101B8C1" w14:textId="503CE0C5" w:rsidR="000333D5" w:rsidRPr="000333D5" w:rsidRDefault="000333D5" w:rsidP="000333D5">
      <w:pPr>
        <w:pStyle w:val="ListNumber"/>
        <w:numPr>
          <w:ilvl w:val="0"/>
          <w:numId w:val="0"/>
        </w:numPr>
        <w:ind w:left="720"/>
        <w:rPr>
          <w:rFonts w:cs="Arial"/>
          <w:szCs w:val="24"/>
        </w:rPr>
      </w:pPr>
      <w:r w:rsidRPr="000333D5">
        <w:rPr>
          <w:rFonts w:cs="Arial"/>
          <w:szCs w:val="24"/>
        </w:rPr>
        <w:fldChar w:fldCharType="end"/>
      </w:r>
      <w:r w:rsidR="00890B38" w:rsidRPr="00890B38">
        <w:rPr>
          <w:noProof/>
          <w:lang w:eastAsia="en-GB"/>
        </w:rPr>
        <w:t xml:space="preserve"> </w:t>
      </w:r>
      <w:r w:rsidR="00D43903">
        <w:rPr>
          <w:noProof/>
        </w:rPr>
        <w:drawing>
          <wp:inline distT="0" distB="0" distL="0" distR="0" wp14:anchorId="1C9F2786" wp14:editId="20BC0404">
            <wp:extent cx="1800226" cy="1458915"/>
            <wp:effectExtent l="0" t="0" r="0" b="825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43903">
        <w:rPr>
          <w:noProof/>
          <w:lang w:eastAsia="en-GB"/>
        </w:rPr>
        <w:t xml:space="preserve"> </w:t>
      </w:r>
      <w:r w:rsidR="00D43903">
        <w:rPr>
          <w:noProof/>
        </w:rPr>
        <w:drawing>
          <wp:inline distT="0" distB="0" distL="0" distR="0" wp14:anchorId="25CA82E6" wp14:editId="650C88EB">
            <wp:extent cx="1790700" cy="1436687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43903" w:rsidRPr="00D43903">
        <w:rPr>
          <w:noProof/>
        </w:rPr>
        <w:t xml:space="preserve"> </w:t>
      </w:r>
      <w:r w:rsidR="00D43903">
        <w:rPr>
          <w:noProof/>
        </w:rPr>
        <w:drawing>
          <wp:inline distT="0" distB="0" distL="0" distR="0" wp14:anchorId="3C318538" wp14:editId="52D076D5">
            <wp:extent cx="1781175" cy="1436688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43903" w:rsidRPr="00D43903">
        <w:rPr>
          <w:noProof/>
        </w:rPr>
        <w:t xml:space="preserve"> </w:t>
      </w:r>
      <w:r w:rsidR="00D43903">
        <w:rPr>
          <w:noProof/>
        </w:rPr>
        <w:drawing>
          <wp:inline distT="0" distB="0" distL="0" distR="0" wp14:anchorId="44AEBEBF" wp14:editId="7ED86F90">
            <wp:extent cx="1771650" cy="1420813"/>
            <wp:effectExtent l="0" t="0" r="0" b="825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26EF88" w14:textId="77777777" w:rsidR="0077414E" w:rsidRDefault="0077414E" w:rsidP="000333D5">
      <w:pPr>
        <w:pStyle w:val="ListNumber"/>
        <w:numPr>
          <w:ilvl w:val="0"/>
          <w:numId w:val="0"/>
        </w:numPr>
        <w:ind w:left="720"/>
        <w:rPr>
          <w:rFonts w:cs="Arial"/>
          <w:szCs w:val="24"/>
        </w:rPr>
      </w:pPr>
    </w:p>
    <w:p w14:paraId="6A19A691" w14:textId="366CF38E" w:rsidR="000333D5" w:rsidRPr="000333D5" w:rsidRDefault="000333D5" w:rsidP="000333D5">
      <w:pPr>
        <w:pStyle w:val="ListNumber"/>
        <w:numPr>
          <w:ilvl w:val="0"/>
          <w:numId w:val="0"/>
        </w:numPr>
        <w:ind w:left="720"/>
        <w:rPr>
          <w:rFonts w:cs="Arial"/>
          <w:szCs w:val="24"/>
        </w:rPr>
      </w:pPr>
      <w:r w:rsidRPr="000333D5">
        <w:rPr>
          <w:rFonts w:cs="Arial"/>
          <w:szCs w:val="24"/>
        </w:rPr>
        <w:t xml:space="preserve">The </w:t>
      </w:r>
      <w:r w:rsidR="00D17ED7">
        <w:rPr>
          <w:rFonts w:cs="Arial"/>
          <w:szCs w:val="24"/>
        </w:rPr>
        <w:t>median hourly rat</w:t>
      </w:r>
      <w:r w:rsidR="00167832">
        <w:rPr>
          <w:rFonts w:cs="Arial"/>
          <w:szCs w:val="24"/>
        </w:rPr>
        <w:t xml:space="preserve">e </w:t>
      </w:r>
      <w:r w:rsidR="00D43903">
        <w:rPr>
          <w:rFonts w:cs="Arial"/>
          <w:szCs w:val="24"/>
        </w:rPr>
        <w:t xml:space="preserve">for both men and women </w:t>
      </w:r>
      <w:proofErr w:type="gramStart"/>
      <w:r w:rsidR="00D43903">
        <w:rPr>
          <w:rFonts w:cs="Arial"/>
          <w:szCs w:val="24"/>
        </w:rPr>
        <w:t>is</w:t>
      </w:r>
      <w:proofErr w:type="gramEnd"/>
      <w:r w:rsidR="00D43903">
        <w:rPr>
          <w:rFonts w:cs="Arial"/>
          <w:szCs w:val="24"/>
        </w:rPr>
        <w:t xml:space="preserve"> </w:t>
      </w:r>
      <w:r w:rsidR="00167832">
        <w:rPr>
          <w:rFonts w:cs="Arial"/>
          <w:szCs w:val="24"/>
        </w:rPr>
        <w:t>£13.</w:t>
      </w:r>
      <w:r w:rsidR="0089050B">
        <w:rPr>
          <w:rFonts w:cs="Arial"/>
          <w:szCs w:val="24"/>
        </w:rPr>
        <w:t>92</w:t>
      </w:r>
      <w:r w:rsidR="00312472">
        <w:rPr>
          <w:rFonts w:cs="Arial"/>
          <w:szCs w:val="24"/>
        </w:rPr>
        <w:t xml:space="preserve"> and the </w:t>
      </w:r>
      <w:r w:rsidRPr="000333D5">
        <w:rPr>
          <w:rFonts w:cs="Arial"/>
          <w:szCs w:val="24"/>
        </w:rPr>
        <w:t>average hourly rate per quartile is shown in the table below.</w:t>
      </w:r>
    </w:p>
    <w:p w14:paraId="7517FC96" w14:textId="77777777" w:rsidR="000333D5" w:rsidRPr="000333D5" w:rsidRDefault="000333D5" w:rsidP="000333D5">
      <w:pPr>
        <w:spacing w:line="360" w:lineRule="auto"/>
        <w:ind w:left="720"/>
        <w:rPr>
          <w:rFonts w:cs="Arial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701"/>
      </w:tblGrid>
      <w:tr w:rsidR="000333D5" w:rsidRPr="000333D5" w14:paraId="272A8E7C" w14:textId="77777777" w:rsidTr="00654D3E">
        <w:tc>
          <w:tcPr>
            <w:tcW w:w="1940" w:type="dxa"/>
            <w:shd w:val="clear" w:color="auto" w:fill="D9D9D9"/>
          </w:tcPr>
          <w:p w14:paraId="3442069F" w14:textId="77777777" w:rsidR="000333D5" w:rsidRPr="00654D3E" w:rsidRDefault="000333D5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Quartile</w:t>
            </w:r>
          </w:p>
        </w:tc>
        <w:tc>
          <w:tcPr>
            <w:tcW w:w="1701" w:type="dxa"/>
            <w:shd w:val="clear" w:color="auto" w:fill="D9D9D9"/>
          </w:tcPr>
          <w:p w14:paraId="6404CC9D" w14:textId="77777777" w:rsidR="000333D5" w:rsidRPr="00654D3E" w:rsidRDefault="000333D5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Hourly rate</w:t>
            </w:r>
          </w:p>
        </w:tc>
      </w:tr>
      <w:tr w:rsidR="000333D5" w:rsidRPr="000333D5" w14:paraId="3F3E4BA0" w14:textId="77777777" w:rsidTr="00654D3E">
        <w:tc>
          <w:tcPr>
            <w:tcW w:w="1940" w:type="dxa"/>
            <w:shd w:val="clear" w:color="auto" w:fill="D9D9D9"/>
          </w:tcPr>
          <w:p w14:paraId="26A8F0A8" w14:textId="77777777" w:rsidR="000333D5" w:rsidRPr="0089050B" w:rsidRDefault="000333D5" w:rsidP="000333D5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9050B">
              <w:rPr>
                <w:rFonts w:cs="Arial"/>
                <w:b/>
                <w:bCs/>
                <w:sz w:val="24"/>
                <w:szCs w:val="24"/>
              </w:rPr>
              <w:t>Lower</w:t>
            </w:r>
          </w:p>
        </w:tc>
        <w:tc>
          <w:tcPr>
            <w:tcW w:w="1701" w:type="dxa"/>
            <w:shd w:val="clear" w:color="auto" w:fill="auto"/>
          </w:tcPr>
          <w:p w14:paraId="3A252D0E" w14:textId="7AFAA1A1" w:rsidR="000333D5" w:rsidRPr="000333D5" w:rsidRDefault="000333D5" w:rsidP="000A4A4C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333D5">
              <w:rPr>
                <w:rFonts w:cs="Arial"/>
                <w:sz w:val="24"/>
                <w:szCs w:val="24"/>
              </w:rPr>
              <w:t>£</w:t>
            </w:r>
            <w:r w:rsidR="0089050B">
              <w:rPr>
                <w:rFonts w:cs="Arial"/>
                <w:sz w:val="24"/>
                <w:szCs w:val="24"/>
              </w:rPr>
              <w:t>10.</w:t>
            </w:r>
            <w:r w:rsidR="00D43903">
              <w:rPr>
                <w:rFonts w:cs="Arial"/>
                <w:sz w:val="24"/>
                <w:szCs w:val="24"/>
              </w:rPr>
              <w:t>53</w:t>
            </w:r>
          </w:p>
        </w:tc>
      </w:tr>
      <w:tr w:rsidR="000333D5" w:rsidRPr="000333D5" w14:paraId="60DB9E6B" w14:textId="77777777" w:rsidTr="00654D3E">
        <w:tc>
          <w:tcPr>
            <w:tcW w:w="1940" w:type="dxa"/>
            <w:shd w:val="clear" w:color="auto" w:fill="D9D9D9"/>
          </w:tcPr>
          <w:p w14:paraId="53E81549" w14:textId="77777777" w:rsidR="000333D5" w:rsidRPr="00654D3E" w:rsidRDefault="000333D5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Lower middle</w:t>
            </w:r>
          </w:p>
        </w:tc>
        <w:tc>
          <w:tcPr>
            <w:tcW w:w="1701" w:type="dxa"/>
            <w:shd w:val="clear" w:color="auto" w:fill="auto"/>
          </w:tcPr>
          <w:p w14:paraId="09857B66" w14:textId="12F274AF" w:rsidR="000333D5" w:rsidRPr="000333D5" w:rsidRDefault="000333D5" w:rsidP="000A4A4C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333D5">
              <w:rPr>
                <w:rFonts w:cs="Arial"/>
                <w:sz w:val="24"/>
                <w:szCs w:val="24"/>
              </w:rPr>
              <w:t>£</w:t>
            </w:r>
            <w:r w:rsidR="00890B38">
              <w:rPr>
                <w:rFonts w:cs="Arial"/>
                <w:sz w:val="24"/>
                <w:szCs w:val="24"/>
              </w:rPr>
              <w:t>1</w:t>
            </w:r>
            <w:r w:rsidR="00D43903">
              <w:rPr>
                <w:rFonts w:cs="Arial"/>
                <w:sz w:val="24"/>
                <w:szCs w:val="24"/>
              </w:rPr>
              <w:t>3.00</w:t>
            </w:r>
          </w:p>
        </w:tc>
      </w:tr>
      <w:tr w:rsidR="000333D5" w:rsidRPr="000333D5" w14:paraId="586701C5" w14:textId="77777777" w:rsidTr="00654D3E">
        <w:tc>
          <w:tcPr>
            <w:tcW w:w="1940" w:type="dxa"/>
            <w:shd w:val="clear" w:color="auto" w:fill="D9D9D9"/>
          </w:tcPr>
          <w:p w14:paraId="645948B5" w14:textId="77777777" w:rsidR="000333D5" w:rsidRPr="00654D3E" w:rsidRDefault="000333D5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Upper middle</w:t>
            </w:r>
          </w:p>
        </w:tc>
        <w:tc>
          <w:tcPr>
            <w:tcW w:w="1701" w:type="dxa"/>
            <w:shd w:val="clear" w:color="auto" w:fill="auto"/>
          </w:tcPr>
          <w:p w14:paraId="50473FCA" w14:textId="14857CF3" w:rsidR="000333D5" w:rsidRPr="000333D5" w:rsidRDefault="000333D5" w:rsidP="000A4A4C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333D5">
              <w:rPr>
                <w:rFonts w:cs="Arial"/>
                <w:sz w:val="24"/>
                <w:szCs w:val="24"/>
              </w:rPr>
              <w:t>£</w:t>
            </w:r>
            <w:r w:rsidR="0096363C">
              <w:rPr>
                <w:rFonts w:cs="Arial"/>
                <w:sz w:val="24"/>
                <w:szCs w:val="24"/>
              </w:rPr>
              <w:t>1</w:t>
            </w:r>
            <w:r w:rsidR="0089050B">
              <w:rPr>
                <w:rFonts w:cs="Arial"/>
                <w:sz w:val="24"/>
                <w:szCs w:val="24"/>
              </w:rPr>
              <w:t>4.</w:t>
            </w:r>
            <w:r w:rsidR="00D43903">
              <w:rPr>
                <w:rFonts w:cs="Arial"/>
                <w:sz w:val="24"/>
                <w:szCs w:val="24"/>
              </w:rPr>
              <w:t>54</w:t>
            </w:r>
          </w:p>
        </w:tc>
      </w:tr>
      <w:tr w:rsidR="000333D5" w:rsidRPr="000333D5" w14:paraId="771DED7F" w14:textId="77777777" w:rsidTr="00654D3E">
        <w:tc>
          <w:tcPr>
            <w:tcW w:w="1940" w:type="dxa"/>
            <w:shd w:val="clear" w:color="auto" w:fill="D9D9D9"/>
          </w:tcPr>
          <w:p w14:paraId="02BBD729" w14:textId="77777777" w:rsidR="000333D5" w:rsidRPr="00654D3E" w:rsidRDefault="000333D5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Upper</w:t>
            </w:r>
          </w:p>
        </w:tc>
        <w:tc>
          <w:tcPr>
            <w:tcW w:w="1701" w:type="dxa"/>
            <w:shd w:val="clear" w:color="auto" w:fill="auto"/>
          </w:tcPr>
          <w:p w14:paraId="7B39E548" w14:textId="3409D2DC" w:rsidR="000333D5" w:rsidRPr="000333D5" w:rsidRDefault="000333D5" w:rsidP="000A4A4C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333D5">
              <w:rPr>
                <w:rFonts w:cs="Arial"/>
                <w:sz w:val="24"/>
                <w:szCs w:val="24"/>
              </w:rPr>
              <w:t>£</w:t>
            </w:r>
            <w:r w:rsidR="0089050B">
              <w:rPr>
                <w:rFonts w:cs="Arial"/>
                <w:sz w:val="24"/>
                <w:szCs w:val="24"/>
              </w:rPr>
              <w:t>20.</w:t>
            </w:r>
            <w:r w:rsidR="00D43903">
              <w:rPr>
                <w:rFonts w:cs="Arial"/>
                <w:sz w:val="24"/>
                <w:szCs w:val="24"/>
              </w:rPr>
              <w:t>74</w:t>
            </w:r>
          </w:p>
        </w:tc>
      </w:tr>
    </w:tbl>
    <w:p w14:paraId="522D1919" w14:textId="77777777" w:rsidR="000333D5" w:rsidRDefault="000333D5" w:rsidP="000333D5">
      <w:pPr>
        <w:spacing w:line="360" w:lineRule="auto"/>
        <w:ind w:left="720"/>
        <w:rPr>
          <w:rFonts w:cs="Arial"/>
          <w:sz w:val="24"/>
          <w:szCs w:val="24"/>
        </w:rPr>
      </w:pPr>
    </w:p>
    <w:p w14:paraId="2728A694" w14:textId="3E597C83" w:rsidR="000333D5" w:rsidRPr="000333D5" w:rsidRDefault="000333D5" w:rsidP="000333D5">
      <w:pPr>
        <w:spacing w:line="360" w:lineRule="auto"/>
        <w:ind w:left="720"/>
        <w:rPr>
          <w:rFonts w:cs="Arial"/>
          <w:sz w:val="24"/>
          <w:szCs w:val="24"/>
        </w:rPr>
      </w:pPr>
      <w:r w:rsidRPr="000333D5">
        <w:rPr>
          <w:rFonts w:cs="Arial"/>
          <w:sz w:val="24"/>
          <w:szCs w:val="24"/>
        </w:rPr>
        <w:t xml:space="preserve">The </w:t>
      </w:r>
      <w:r w:rsidR="00D17ED7">
        <w:rPr>
          <w:rFonts w:cs="Arial"/>
          <w:sz w:val="24"/>
          <w:szCs w:val="24"/>
        </w:rPr>
        <w:t>Company</w:t>
      </w:r>
      <w:r w:rsidRPr="000333D5">
        <w:rPr>
          <w:rFonts w:cs="Arial"/>
          <w:sz w:val="24"/>
          <w:szCs w:val="24"/>
        </w:rPr>
        <w:t xml:space="preserve"> has a </w:t>
      </w:r>
      <w:r w:rsidR="00D17ED7">
        <w:rPr>
          <w:rFonts w:cs="Arial"/>
          <w:sz w:val="24"/>
          <w:szCs w:val="24"/>
        </w:rPr>
        <w:t>small</w:t>
      </w:r>
      <w:r w:rsidRPr="000333D5">
        <w:rPr>
          <w:rFonts w:cs="Arial"/>
          <w:sz w:val="24"/>
          <w:szCs w:val="24"/>
        </w:rPr>
        <w:t xml:space="preserve"> proportion of part time employees</w:t>
      </w:r>
      <w:r w:rsidR="00D17ED7">
        <w:rPr>
          <w:rFonts w:cs="Arial"/>
          <w:sz w:val="24"/>
          <w:szCs w:val="24"/>
        </w:rPr>
        <w:t xml:space="preserve">.  </w:t>
      </w:r>
      <w:r w:rsidR="00A67578">
        <w:rPr>
          <w:rFonts w:cs="Arial"/>
          <w:sz w:val="24"/>
          <w:szCs w:val="24"/>
        </w:rPr>
        <w:t>5</w:t>
      </w:r>
      <w:r w:rsidR="00A10F39">
        <w:rPr>
          <w:rFonts w:cs="Arial"/>
          <w:sz w:val="24"/>
          <w:szCs w:val="24"/>
        </w:rPr>
        <w:t>67</w:t>
      </w:r>
      <w:r w:rsidRPr="000333D5">
        <w:rPr>
          <w:rFonts w:cs="Arial"/>
          <w:sz w:val="24"/>
          <w:szCs w:val="24"/>
        </w:rPr>
        <w:t xml:space="preserve"> employees (</w:t>
      </w:r>
      <w:r w:rsidR="00D17ED7">
        <w:rPr>
          <w:rFonts w:cs="Arial"/>
          <w:sz w:val="24"/>
          <w:szCs w:val="24"/>
        </w:rPr>
        <w:t>9</w:t>
      </w:r>
      <w:r w:rsidR="0089050B">
        <w:rPr>
          <w:rFonts w:cs="Arial"/>
          <w:sz w:val="24"/>
          <w:szCs w:val="24"/>
        </w:rPr>
        <w:t>3</w:t>
      </w:r>
      <w:r w:rsidRPr="000333D5">
        <w:rPr>
          <w:rFonts w:cs="Arial"/>
          <w:sz w:val="24"/>
          <w:szCs w:val="24"/>
        </w:rPr>
        <w:t xml:space="preserve">%) are full </w:t>
      </w:r>
      <w:proofErr w:type="gramStart"/>
      <w:r w:rsidRPr="000333D5">
        <w:rPr>
          <w:rFonts w:cs="Arial"/>
          <w:sz w:val="24"/>
          <w:szCs w:val="24"/>
        </w:rPr>
        <w:t>time</w:t>
      </w:r>
      <w:proofErr w:type="gramEnd"/>
      <w:r w:rsidRPr="000333D5">
        <w:rPr>
          <w:rFonts w:cs="Arial"/>
          <w:sz w:val="24"/>
          <w:szCs w:val="24"/>
        </w:rPr>
        <w:t xml:space="preserve"> and </w:t>
      </w:r>
      <w:r w:rsidR="0089050B">
        <w:rPr>
          <w:rFonts w:cs="Arial"/>
          <w:sz w:val="24"/>
          <w:szCs w:val="24"/>
        </w:rPr>
        <w:t>4</w:t>
      </w:r>
      <w:r w:rsidR="00A10F39">
        <w:rPr>
          <w:rFonts w:cs="Arial"/>
          <w:sz w:val="24"/>
          <w:szCs w:val="24"/>
        </w:rPr>
        <w:t>2</w:t>
      </w:r>
      <w:r w:rsidRPr="000333D5">
        <w:rPr>
          <w:rFonts w:cs="Arial"/>
          <w:sz w:val="24"/>
          <w:szCs w:val="24"/>
        </w:rPr>
        <w:t xml:space="preserve"> employees (</w:t>
      </w:r>
      <w:r w:rsidR="0089050B">
        <w:rPr>
          <w:rFonts w:cs="Arial"/>
          <w:sz w:val="24"/>
          <w:szCs w:val="24"/>
        </w:rPr>
        <w:t>7</w:t>
      </w:r>
      <w:r w:rsidRPr="000333D5">
        <w:rPr>
          <w:rFonts w:cs="Arial"/>
          <w:sz w:val="24"/>
          <w:szCs w:val="24"/>
        </w:rPr>
        <w:t>%) are part time.  The numbers of full time and part time staff in each quartile are shown in the table below.</w:t>
      </w:r>
    </w:p>
    <w:p w14:paraId="5D8B5514" w14:textId="77777777" w:rsidR="000333D5" w:rsidRPr="000333D5" w:rsidRDefault="000333D5" w:rsidP="000333D5">
      <w:pPr>
        <w:spacing w:line="360" w:lineRule="auto"/>
        <w:ind w:left="720"/>
        <w:rPr>
          <w:rFonts w:cs="Arial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134"/>
        <w:gridCol w:w="1134"/>
        <w:gridCol w:w="1134"/>
        <w:gridCol w:w="1134"/>
      </w:tblGrid>
      <w:tr w:rsidR="001E0A4E" w:rsidRPr="000333D5" w14:paraId="6900ABA8" w14:textId="77777777" w:rsidTr="00536BE0">
        <w:tc>
          <w:tcPr>
            <w:tcW w:w="1940" w:type="dxa"/>
            <w:vMerge w:val="restart"/>
            <w:shd w:val="clear" w:color="auto" w:fill="D9D9D9"/>
          </w:tcPr>
          <w:p w14:paraId="454BCDE3" w14:textId="77777777" w:rsidR="001E0A4E" w:rsidRPr="00654D3E" w:rsidRDefault="001E0A4E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Quartile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08264D58" w14:textId="77777777" w:rsidR="001E0A4E" w:rsidRPr="00654D3E" w:rsidRDefault="001E0A4E" w:rsidP="000333D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Full time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4071CE35" w14:textId="77777777" w:rsidR="001E0A4E" w:rsidRPr="00654D3E" w:rsidRDefault="001E0A4E" w:rsidP="000333D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Part time</w:t>
            </w:r>
          </w:p>
        </w:tc>
      </w:tr>
      <w:tr w:rsidR="001E0A4E" w:rsidRPr="000333D5" w14:paraId="0BAC195F" w14:textId="77777777" w:rsidTr="00536BE0">
        <w:tc>
          <w:tcPr>
            <w:tcW w:w="1940" w:type="dxa"/>
            <w:vMerge/>
            <w:shd w:val="clear" w:color="auto" w:fill="D9D9D9"/>
          </w:tcPr>
          <w:p w14:paraId="59C63528" w14:textId="77777777" w:rsidR="001E0A4E" w:rsidRPr="00A611D1" w:rsidRDefault="001E0A4E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23F2134E" w14:textId="77777777" w:rsidR="001E0A4E" w:rsidRPr="00A611D1" w:rsidRDefault="001E0A4E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A611D1">
              <w:rPr>
                <w:rFonts w:cs="Arial"/>
                <w:b/>
                <w:sz w:val="24"/>
                <w:szCs w:val="24"/>
              </w:rPr>
              <w:t>Men</w:t>
            </w:r>
          </w:p>
        </w:tc>
        <w:tc>
          <w:tcPr>
            <w:tcW w:w="1134" w:type="dxa"/>
            <w:shd w:val="clear" w:color="auto" w:fill="D9D9D9"/>
          </w:tcPr>
          <w:p w14:paraId="18DB4DA9" w14:textId="77777777" w:rsidR="001E0A4E" w:rsidRPr="00A611D1" w:rsidRDefault="001E0A4E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A611D1">
              <w:rPr>
                <w:rFonts w:cs="Arial"/>
                <w:b/>
                <w:sz w:val="24"/>
                <w:szCs w:val="24"/>
              </w:rPr>
              <w:t>Women</w:t>
            </w:r>
          </w:p>
        </w:tc>
        <w:tc>
          <w:tcPr>
            <w:tcW w:w="1134" w:type="dxa"/>
            <w:shd w:val="clear" w:color="auto" w:fill="D9D9D9"/>
          </w:tcPr>
          <w:p w14:paraId="303F1A52" w14:textId="77777777" w:rsidR="001E0A4E" w:rsidRPr="00A611D1" w:rsidRDefault="001E0A4E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A611D1">
              <w:rPr>
                <w:rFonts w:cs="Arial"/>
                <w:b/>
                <w:sz w:val="24"/>
                <w:szCs w:val="24"/>
              </w:rPr>
              <w:t>Men</w:t>
            </w:r>
          </w:p>
        </w:tc>
        <w:tc>
          <w:tcPr>
            <w:tcW w:w="1134" w:type="dxa"/>
            <w:shd w:val="clear" w:color="auto" w:fill="D9D9D9"/>
          </w:tcPr>
          <w:p w14:paraId="7FE19207" w14:textId="77777777" w:rsidR="001E0A4E" w:rsidRPr="00A611D1" w:rsidRDefault="001E0A4E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A611D1">
              <w:rPr>
                <w:rFonts w:cs="Arial"/>
                <w:b/>
                <w:sz w:val="24"/>
                <w:szCs w:val="24"/>
              </w:rPr>
              <w:t>Women</w:t>
            </w:r>
          </w:p>
        </w:tc>
      </w:tr>
      <w:tr w:rsidR="001E0A4E" w:rsidRPr="000333D5" w14:paraId="0BFA3C32" w14:textId="77777777" w:rsidTr="00536BE0">
        <w:tc>
          <w:tcPr>
            <w:tcW w:w="1940" w:type="dxa"/>
            <w:shd w:val="clear" w:color="auto" w:fill="D9D9D9"/>
          </w:tcPr>
          <w:p w14:paraId="64560AAE" w14:textId="77777777" w:rsidR="001E0A4E" w:rsidRPr="00654D3E" w:rsidRDefault="001E0A4E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Lower</w:t>
            </w:r>
          </w:p>
        </w:tc>
        <w:tc>
          <w:tcPr>
            <w:tcW w:w="1134" w:type="dxa"/>
            <w:shd w:val="clear" w:color="auto" w:fill="auto"/>
          </w:tcPr>
          <w:p w14:paraId="53E4A5C1" w14:textId="2EA4F75D" w:rsidR="00A10F39" w:rsidRPr="000333D5" w:rsidRDefault="00A10F39" w:rsidP="00A10F39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14:paraId="05B7B036" w14:textId="1DC8282A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72EFCBF3" w14:textId="4F11A68C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701C4A" w14:textId="7267B5B6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1E0A4E" w:rsidRPr="000333D5" w14:paraId="1D24AA18" w14:textId="77777777" w:rsidTr="00536BE0">
        <w:tc>
          <w:tcPr>
            <w:tcW w:w="1940" w:type="dxa"/>
            <w:shd w:val="clear" w:color="auto" w:fill="D9D9D9"/>
          </w:tcPr>
          <w:p w14:paraId="19E400A4" w14:textId="77777777" w:rsidR="001E0A4E" w:rsidRPr="00654D3E" w:rsidRDefault="001E0A4E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Lower middle</w:t>
            </w:r>
          </w:p>
        </w:tc>
        <w:tc>
          <w:tcPr>
            <w:tcW w:w="1134" w:type="dxa"/>
            <w:shd w:val="clear" w:color="auto" w:fill="auto"/>
          </w:tcPr>
          <w:p w14:paraId="5AF94913" w14:textId="1E85D798" w:rsidR="001E0A4E" w:rsidRPr="000333D5" w:rsidRDefault="00A10F39" w:rsidP="001E0A4E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14:paraId="28755245" w14:textId="74D262E0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37E1D7EA" w14:textId="732F3295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E250459" w14:textId="605AFB7C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</w:tr>
      <w:tr w:rsidR="001E0A4E" w:rsidRPr="000333D5" w14:paraId="30DAA2A2" w14:textId="77777777" w:rsidTr="00536BE0">
        <w:tc>
          <w:tcPr>
            <w:tcW w:w="1940" w:type="dxa"/>
            <w:shd w:val="clear" w:color="auto" w:fill="D9D9D9"/>
          </w:tcPr>
          <w:p w14:paraId="229E1397" w14:textId="77777777" w:rsidR="001E0A4E" w:rsidRPr="00654D3E" w:rsidRDefault="001E0A4E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Upper middle</w:t>
            </w:r>
          </w:p>
        </w:tc>
        <w:tc>
          <w:tcPr>
            <w:tcW w:w="1134" w:type="dxa"/>
            <w:shd w:val="clear" w:color="auto" w:fill="auto"/>
          </w:tcPr>
          <w:p w14:paraId="25625C87" w14:textId="7ED4296D" w:rsidR="001E0A4E" w:rsidRPr="000333D5" w:rsidRDefault="00A10F39" w:rsidP="00397437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14:paraId="49846442" w14:textId="0EB7D788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7707212C" w14:textId="74B46347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7909615" w14:textId="3AF6193F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</w:tr>
      <w:tr w:rsidR="001E0A4E" w:rsidRPr="000333D5" w14:paraId="3EA715BA" w14:textId="77777777" w:rsidTr="00536BE0">
        <w:tc>
          <w:tcPr>
            <w:tcW w:w="1940" w:type="dxa"/>
            <w:shd w:val="clear" w:color="auto" w:fill="D9D9D9"/>
          </w:tcPr>
          <w:p w14:paraId="4E9DF61F" w14:textId="77777777" w:rsidR="001E0A4E" w:rsidRPr="00654D3E" w:rsidRDefault="001E0A4E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Upper</w:t>
            </w:r>
          </w:p>
        </w:tc>
        <w:tc>
          <w:tcPr>
            <w:tcW w:w="1134" w:type="dxa"/>
            <w:shd w:val="clear" w:color="auto" w:fill="auto"/>
          </w:tcPr>
          <w:p w14:paraId="1CF7D1DD" w14:textId="27876E71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118</w:t>
            </w:r>
          </w:p>
        </w:tc>
        <w:tc>
          <w:tcPr>
            <w:tcW w:w="1134" w:type="dxa"/>
            <w:shd w:val="clear" w:color="auto" w:fill="auto"/>
          </w:tcPr>
          <w:p w14:paraId="6A3AD384" w14:textId="125D0A55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6DD14CB0" w14:textId="4751A363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77DEB2" w14:textId="35200924" w:rsidR="001E0A4E" w:rsidRPr="000333D5" w:rsidRDefault="00A10F39" w:rsidP="000333D5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1E0A4E" w:rsidRPr="000333D5" w14:paraId="60B2E1C2" w14:textId="77777777" w:rsidTr="00536BE0">
        <w:tc>
          <w:tcPr>
            <w:tcW w:w="1940" w:type="dxa"/>
            <w:shd w:val="clear" w:color="auto" w:fill="D9D9D9"/>
          </w:tcPr>
          <w:p w14:paraId="2AF949DA" w14:textId="77777777" w:rsidR="001E0A4E" w:rsidRPr="00654D3E" w:rsidRDefault="001E0A4E" w:rsidP="000333D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654D3E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D9D9D9"/>
          </w:tcPr>
          <w:p w14:paraId="3892FC66" w14:textId="0BDEB19C" w:rsidR="001E0A4E" w:rsidRPr="00654D3E" w:rsidRDefault="00A10F39" w:rsidP="000333D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417</w:t>
            </w:r>
          </w:p>
        </w:tc>
        <w:tc>
          <w:tcPr>
            <w:tcW w:w="1134" w:type="dxa"/>
            <w:shd w:val="clear" w:color="auto" w:fill="D9D9D9"/>
          </w:tcPr>
          <w:p w14:paraId="79E9A47A" w14:textId="7BD254F1" w:rsidR="001E0A4E" w:rsidRPr="00654D3E" w:rsidRDefault="00A10F39" w:rsidP="000333D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D9D9D9"/>
          </w:tcPr>
          <w:p w14:paraId="1357CAD8" w14:textId="21F5EBE7" w:rsidR="001E0A4E" w:rsidRPr="00654D3E" w:rsidRDefault="00A10F39" w:rsidP="000333D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14:paraId="2A0D70F3" w14:textId="3597D0AC" w:rsidR="001E0A4E" w:rsidRPr="00654D3E" w:rsidRDefault="00A10F39" w:rsidP="000333D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35</w:t>
            </w:r>
          </w:p>
        </w:tc>
      </w:tr>
    </w:tbl>
    <w:p w14:paraId="498BB441" w14:textId="77777777" w:rsidR="000333D5" w:rsidRPr="000333D5" w:rsidRDefault="000333D5" w:rsidP="000333D5">
      <w:pPr>
        <w:spacing w:line="360" w:lineRule="auto"/>
        <w:ind w:left="720"/>
        <w:rPr>
          <w:rFonts w:cs="Arial"/>
          <w:sz w:val="24"/>
          <w:szCs w:val="24"/>
        </w:rPr>
      </w:pPr>
    </w:p>
    <w:p w14:paraId="44122E07" w14:textId="77777777" w:rsidR="0077414E" w:rsidRDefault="0077414E" w:rsidP="000333D5">
      <w:pPr>
        <w:spacing w:line="360" w:lineRule="auto"/>
        <w:ind w:left="720"/>
        <w:rPr>
          <w:rFonts w:cs="Arial"/>
          <w:b/>
          <w:sz w:val="24"/>
          <w:szCs w:val="24"/>
        </w:rPr>
      </w:pPr>
    </w:p>
    <w:p w14:paraId="0F8F0738" w14:textId="3FC001CF" w:rsidR="000333D5" w:rsidRPr="00DA4CA7" w:rsidRDefault="00C77D72" w:rsidP="000333D5">
      <w:pPr>
        <w:spacing w:line="360" w:lineRule="auto"/>
        <w:ind w:left="720"/>
        <w:rPr>
          <w:rFonts w:cs="Arial"/>
          <w:sz w:val="24"/>
          <w:szCs w:val="24"/>
        </w:rPr>
      </w:pPr>
      <w:r w:rsidRPr="00DA4CA7">
        <w:rPr>
          <w:rFonts w:cs="Arial"/>
          <w:b/>
          <w:sz w:val="24"/>
          <w:szCs w:val="24"/>
        </w:rPr>
        <w:t>Progress towards c</w:t>
      </w:r>
      <w:r w:rsidR="000333D5" w:rsidRPr="00DA4CA7">
        <w:rPr>
          <w:rFonts w:cs="Arial"/>
          <w:b/>
          <w:sz w:val="24"/>
          <w:szCs w:val="24"/>
        </w:rPr>
        <w:t>losing the gap</w:t>
      </w:r>
    </w:p>
    <w:p w14:paraId="7D14AE81" w14:textId="77777777" w:rsidR="000333D5" w:rsidRPr="00DA4CA7" w:rsidRDefault="000333D5" w:rsidP="000333D5">
      <w:pPr>
        <w:spacing w:line="360" w:lineRule="auto"/>
        <w:ind w:left="720"/>
        <w:rPr>
          <w:rFonts w:cs="Arial"/>
          <w:sz w:val="24"/>
          <w:szCs w:val="24"/>
        </w:rPr>
      </w:pPr>
    </w:p>
    <w:p w14:paraId="1D778FCA" w14:textId="77777777" w:rsidR="000333D5" w:rsidRPr="00DA4CA7" w:rsidRDefault="000333D5" w:rsidP="000333D5">
      <w:pPr>
        <w:spacing w:line="360" w:lineRule="auto"/>
        <w:ind w:left="720"/>
        <w:rPr>
          <w:rFonts w:cs="Arial"/>
          <w:sz w:val="24"/>
          <w:szCs w:val="24"/>
        </w:rPr>
      </w:pPr>
      <w:r w:rsidRPr="00DA4CA7">
        <w:rPr>
          <w:rFonts w:cs="Arial"/>
          <w:sz w:val="24"/>
          <w:szCs w:val="24"/>
        </w:rPr>
        <w:t xml:space="preserve">The </w:t>
      </w:r>
      <w:r w:rsidR="00D44349" w:rsidRPr="00DA4CA7">
        <w:rPr>
          <w:rFonts w:cs="Arial"/>
          <w:sz w:val="24"/>
          <w:szCs w:val="24"/>
        </w:rPr>
        <w:t>Company</w:t>
      </w:r>
      <w:r w:rsidRPr="00DA4CA7">
        <w:rPr>
          <w:rFonts w:cs="Arial"/>
          <w:sz w:val="24"/>
          <w:szCs w:val="24"/>
        </w:rPr>
        <w:t xml:space="preserve"> is committed to </w:t>
      </w:r>
      <w:r w:rsidR="00180604" w:rsidRPr="00DA4CA7">
        <w:rPr>
          <w:rFonts w:cs="Arial"/>
          <w:sz w:val="24"/>
          <w:szCs w:val="24"/>
        </w:rPr>
        <w:t>taking action to reduce the gender</w:t>
      </w:r>
      <w:r w:rsidRPr="00DA4CA7">
        <w:rPr>
          <w:rFonts w:cs="Arial"/>
          <w:sz w:val="24"/>
          <w:szCs w:val="24"/>
        </w:rPr>
        <w:t xml:space="preserve"> p</w:t>
      </w:r>
      <w:r w:rsidR="00180604" w:rsidRPr="00DA4CA7">
        <w:rPr>
          <w:rFonts w:cs="Arial"/>
          <w:sz w:val="24"/>
          <w:szCs w:val="24"/>
        </w:rPr>
        <w:t>ay gap</w:t>
      </w:r>
      <w:r w:rsidR="00C77D72" w:rsidRPr="00DA4CA7">
        <w:rPr>
          <w:rFonts w:cs="Arial"/>
          <w:sz w:val="24"/>
          <w:szCs w:val="24"/>
        </w:rPr>
        <w:t xml:space="preserve"> however we recognise that we need to continue to take action and monitor our data</w:t>
      </w:r>
      <w:r w:rsidR="00671819" w:rsidRPr="00DA4CA7">
        <w:rPr>
          <w:rFonts w:cs="Arial"/>
          <w:sz w:val="24"/>
          <w:szCs w:val="24"/>
        </w:rPr>
        <w:t xml:space="preserve"> as outlined </w:t>
      </w:r>
      <w:proofErr w:type="gramStart"/>
      <w:r w:rsidR="00671819" w:rsidRPr="00DA4CA7">
        <w:rPr>
          <w:rFonts w:cs="Arial"/>
          <w:sz w:val="24"/>
          <w:szCs w:val="24"/>
        </w:rPr>
        <w:t>below:-</w:t>
      </w:r>
      <w:proofErr w:type="gramEnd"/>
      <w:r w:rsidR="00C77D72" w:rsidRPr="00DA4CA7">
        <w:rPr>
          <w:rFonts w:cs="Arial"/>
          <w:sz w:val="24"/>
          <w:szCs w:val="24"/>
        </w:rPr>
        <w:t>.</w:t>
      </w:r>
    </w:p>
    <w:p w14:paraId="0ED3F4DA" w14:textId="77777777" w:rsidR="00C77D72" w:rsidRPr="00DA4CA7" w:rsidRDefault="00C77D72" w:rsidP="000333D5">
      <w:pPr>
        <w:spacing w:line="360" w:lineRule="auto"/>
        <w:ind w:left="720"/>
        <w:rPr>
          <w:rFonts w:cs="Arial"/>
          <w:sz w:val="24"/>
          <w:szCs w:val="24"/>
        </w:rPr>
      </w:pPr>
    </w:p>
    <w:p w14:paraId="74651912" w14:textId="77777777" w:rsidR="00CA7D6A" w:rsidRPr="00DA4CA7" w:rsidRDefault="005A7122" w:rsidP="000333D5">
      <w:pPr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DA4CA7">
        <w:rPr>
          <w:rFonts w:cs="Arial"/>
          <w:sz w:val="24"/>
          <w:szCs w:val="24"/>
        </w:rPr>
        <w:t>We continue to review</w:t>
      </w:r>
      <w:r w:rsidR="00CA7D6A" w:rsidRPr="00DA4CA7">
        <w:rPr>
          <w:rFonts w:cs="Arial"/>
          <w:sz w:val="24"/>
          <w:szCs w:val="24"/>
        </w:rPr>
        <w:t xml:space="preserve"> our recruitment processes to ensure there is no bias in recruiting decisions</w:t>
      </w:r>
      <w:r w:rsidRPr="00DA4CA7">
        <w:rPr>
          <w:rFonts w:cs="Arial"/>
          <w:sz w:val="24"/>
          <w:szCs w:val="24"/>
        </w:rPr>
        <w:t xml:space="preserve"> and we ensure our adverts use gender-neutral language and encourage applicants from all groups to apply</w:t>
      </w:r>
      <w:r w:rsidR="00CA7D6A" w:rsidRPr="00DA4CA7">
        <w:rPr>
          <w:rFonts w:cs="Arial"/>
          <w:sz w:val="24"/>
          <w:szCs w:val="24"/>
        </w:rPr>
        <w:t xml:space="preserve">.  We will analyse our workforce to identify any imbalance in gender in particular roles/levels and implement strategies to support this.  </w:t>
      </w:r>
    </w:p>
    <w:p w14:paraId="657FCB7C" w14:textId="77777777" w:rsidR="00CA7D6A" w:rsidRPr="00DA4CA7" w:rsidRDefault="005A7122" w:rsidP="000333D5">
      <w:pPr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DA4CA7">
        <w:rPr>
          <w:rFonts w:cs="Arial"/>
          <w:sz w:val="24"/>
          <w:szCs w:val="24"/>
        </w:rPr>
        <w:t>We</w:t>
      </w:r>
      <w:r w:rsidR="007D1335" w:rsidRPr="00DA4CA7">
        <w:rPr>
          <w:rFonts w:cs="Arial"/>
          <w:sz w:val="24"/>
          <w:szCs w:val="24"/>
        </w:rPr>
        <w:t xml:space="preserve"> offer a range of flexible working arrangements including </w:t>
      </w:r>
      <w:proofErr w:type="gramStart"/>
      <w:r w:rsidR="007D1335" w:rsidRPr="00DA4CA7">
        <w:rPr>
          <w:rFonts w:cs="Arial"/>
          <w:sz w:val="24"/>
          <w:szCs w:val="24"/>
        </w:rPr>
        <w:t>flexi-time</w:t>
      </w:r>
      <w:proofErr w:type="gramEnd"/>
      <w:r w:rsidR="007D1335" w:rsidRPr="00DA4CA7">
        <w:rPr>
          <w:rFonts w:cs="Arial"/>
          <w:sz w:val="24"/>
          <w:szCs w:val="24"/>
        </w:rPr>
        <w:t>, job share, part time working, compressed hours etc.  We will</w:t>
      </w:r>
      <w:r w:rsidR="00AA41A1" w:rsidRPr="00DA4CA7">
        <w:rPr>
          <w:rFonts w:cs="Arial"/>
          <w:sz w:val="24"/>
          <w:szCs w:val="24"/>
        </w:rPr>
        <w:t xml:space="preserve"> </w:t>
      </w:r>
      <w:r w:rsidRPr="00DA4CA7">
        <w:rPr>
          <w:rFonts w:cs="Arial"/>
          <w:sz w:val="24"/>
          <w:szCs w:val="24"/>
        </w:rPr>
        <w:t xml:space="preserve">continue to </w:t>
      </w:r>
      <w:r w:rsidR="00AA41A1" w:rsidRPr="00DA4CA7">
        <w:rPr>
          <w:rFonts w:cs="Arial"/>
          <w:sz w:val="24"/>
          <w:szCs w:val="24"/>
        </w:rPr>
        <w:t>identify any barriers to accessing flexible working and encourage flexible working across the Company</w:t>
      </w:r>
      <w:r w:rsidR="007D1335" w:rsidRPr="00DA4CA7">
        <w:rPr>
          <w:rFonts w:cs="Arial"/>
          <w:sz w:val="24"/>
          <w:szCs w:val="24"/>
        </w:rPr>
        <w:t>.</w:t>
      </w:r>
    </w:p>
    <w:p w14:paraId="72AE4F4D" w14:textId="77777777" w:rsidR="000333D5" w:rsidRPr="00DA4CA7" w:rsidRDefault="001E53AC" w:rsidP="000333D5">
      <w:pPr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DA4CA7">
        <w:rPr>
          <w:rFonts w:cs="Arial"/>
          <w:sz w:val="24"/>
          <w:szCs w:val="24"/>
        </w:rPr>
        <w:t xml:space="preserve">We </w:t>
      </w:r>
      <w:r w:rsidR="00AA41A1" w:rsidRPr="00DA4CA7">
        <w:rPr>
          <w:rFonts w:cs="Arial"/>
          <w:sz w:val="24"/>
          <w:szCs w:val="24"/>
        </w:rPr>
        <w:t xml:space="preserve">will </w:t>
      </w:r>
      <w:r w:rsidR="000333D5" w:rsidRPr="00DA4CA7">
        <w:rPr>
          <w:rFonts w:cs="Arial"/>
          <w:sz w:val="24"/>
          <w:szCs w:val="24"/>
        </w:rPr>
        <w:t xml:space="preserve">ensure that </w:t>
      </w:r>
      <w:r w:rsidR="00AA41A1" w:rsidRPr="00DA4CA7">
        <w:rPr>
          <w:rFonts w:cs="Arial"/>
          <w:sz w:val="24"/>
          <w:szCs w:val="24"/>
        </w:rPr>
        <w:t>opportunities</w:t>
      </w:r>
      <w:r w:rsidR="000333D5" w:rsidRPr="00DA4CA7">
        <w:rPr>
          <w:rFonts w:cs="Arial"/>
          <w:sz w:val="24"/>
          <w:szCs w:val="24"/>
        </w:rPr>
        <w:t xml:space="preserve"> </w:t>
      </w:r>
      <w:r w:rsidR="005A7122" w:rsidRPr="00DA4CA7">
        <w:rPr>
          <w:rFonts w:cs="Arial"/>
          <w:sz w:val="24"/>
          <w:szCs w:val="24"/>
        </w:rPr>
        <w:t xml:space="preserve">via succession planning and talent development arrangements </w:t>
      </w:r>
      <w:r w:rsidR="000333D5" w:rsidRPr="00DA4CA7">
        <w:rPr>
          <w:rFonts w:cs="Arial"/>
          <w:sz w:val="24"/>
          <w:szCs w:val="24"/>
        </w:rPr>
        <w:t>across the organisation are as accessible as possible to all employees.</w:t>
      </w:r>
    </w:p>
    <w:p w14:paraId="24253576" w14:textId="77777777" w:rsidR="00687E44" w:rsidRPr="00DA4CA7" w:rsidRDefault="00687E44" w:rsidP="000333D5">
      <w:pPr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DA4CA7">
        <w:rPr>
          <w:rFonts w:cs="Arial"/>
          <w:sz w:val="24"/>
          <w:szCs w:val="24"/>
        </w:rPr>
        <w:t xml:space="preserve">We will </w:t>
      </w:r>
      <w:r w:rsidR="001E53AC" w:rsidRPr="00DA4CA7">
        <w:rPr>
          <w:rFonts w:cs="Arial"/>
          <w:sz w:val="24"/>
          <w:szCs w:val="24"/>
        </w:rPr>
        <w:t xml:space="preserve">continue to benchmark across our peers and </w:t>
      </w:r>
      <w:r w:rsidRPr="00DA4CA7">
        <w:rPr>
          <w:rFonts w:cs="Arial"/>
          <w:sz w:val="24"/>
          <w:szCs w:val="24"/>
        </w:rPr>
        <w:t>evaluate the results and identifying best practice which can be implemented within the Company.</w:t>
      </w:r>
    </w:p>
    <w:p w14:paraId="4280A657" w14:textId="77777777" w:rsidR="000333D5" w:rsidRPr="000333D5" w:rsidRDefault="000333D5" w:rsidP="000333D5">
      <w:pPr>
        <w:spacing w:line="360" w:lineRule="auto"/>
        <w:ind w:left="720"/>
        <w:rPr>
          <w:rFonts w:cs="Arial"/>
          <w:sz w:val="22"/>
          <w:szCs w:val="22"/>
        </w:rPr>
      </w:pPr>
    </w:p>
    <w:p w14:paraId="5C7A3377" w14:textId="77777777" w:rsidR="000333D5" w:rsidRPr="000333D5" w:rsidRDefault="000333D5" w:rsidP="000333D5">
      <w:pPr>
        <w:spacing w:line="360" w:lineRule="auto"/>
        <w:ind w:left="720"/>
        <w:rPr>
          <w:rFonts w:cs="Arial"/>
          <w:sz w:val="22"/>
          <w:szCs w:val="22"/>
        </w:rPr>
      </w:pPr>
    </w:p>
    <w:p w14:paraId="57155098" w14:textId="77777777" w:rsidR="000333D5" w:rsidRPr="000333D5" w:rsidRDefault="000333D5" w:rsidP="000333D5">
      <w:pPr>
        <w:ind w:left="720"/>
        <w:rPr>
          <w:rFonts w:cs="Arial"/>
          <w:sz w:val="22"/>
          <w:szCs w:val="22"/>
        </w:rPr>
      </w:pPr>
    </w:p>
    <w:sectPr w:rsidR="000333D5" w:rsidRPr="000333D5" w:rsidSect="000333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FBEA" w14:textId="77777777" w:rsidR="00576EE2" w:rsidRDefault="00576EE2" w:rsidP="000333D5">
      <w:r>
        <w:separator/>
      </w:r>
    </w:p>
  </w:endnote>
  <w:endnote w:type="continuationSeparator" w:id="0">
    <w:p w14:paraId="5C1E00B6" w14:textId="77777777" w:rsidR="00576EE2" w:rsidRDefault="00576EE2" w:rsidP="0003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315C" w14:textId="77777777" w:rsidR="00576EE2" w:rsidRDefault="00576EE2" w:rsidP="000333D5">
      <w:r>
        <w:separator/>
      </w:r>
    </w:p>
  </w:footnote>
  <w:footnote w:type="continuationSeparator" w:id="0">
    <w:p w14:paraId="2871BA92" w14:textId="77777777" w:rsidR="00576EE2" w:rsidRDefault="00576EE2" w:rsidP="0003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95452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462DBB"/>
    <w:multiLevelType w:val="hybridMultilevel"/>
    <w:tmpl w:val="2BFE1F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5"/>
    <w:rsid w:val="00010332"/>
    <w:rsid w:val="000333D5"/>
    <w:rsid w:val="0005140A"/>
    <w:rsid w:val="00084B0A"/>
    <w:rsid w:val="00095306"/>
    <w:rsid w:val="000A4A4C"/>
    <w:rsid w:val="000B30AC"/>
    <w:rsid w:val="000D1D81"/>
    <w:rsid w:val="00161486"/>
    <w:rsid w:val="00167832"/>
    <w:rsid w:val="00180604"/>
    <w:rsid w:val="001B7809"/>
    <w:rsid w:val="001C06E9"/>
    <w:rsid w:val="001E0A4E"/>
    <w:rsid w:val="001E53AC"/>
    <w:rsid w:val="001F3DFA"/>
    <w:rsid w:val="00281219"/>
    <w:rsid w:val="00292F07"/>
    <w:rsid w:val="002C03E8"/>
    <w:rsid w:val="002E5D27"/>
    <w:rsid w:val="00312472"/>
    <w:rsid w:val="0032102F"/>
    <w:rsid w:val="00397437"/>
    <w:rsid w:val="003C5551"/>
    <w:rsid w:val="00452160"/>
    <w:rsid w:val="004B0BD5"/>
    <w:rsid w:val="004B290D"/>
    <w:rsid w:val="00576EE2"/>
    <w:rsid w:val="005A7122"/>
    <w:rsid w:val="005D408E"/>
    <w:rsid w:val="0062034B"/>
    <w:rsid w:val="00654D3E"/>
    <w:rsid w:val="00664758"/>
    <w:rsid w:val="00671819"/>
    <w:rsid w:val="00687E44"/>
    <w:rsid w:val="006910AD"/>
    <w:rsid w:val="00697E32"/>
    <w:rsid w:val="006D621F"/>
    <w:rsid w:val="006E62A8"/>
    <w:rsid w:val="006F0854"/>
    <w:rsid w:val="00757CC1"/>
    <w:rsid w:val="0077414E"/>
    <w:rsid w:val="007B0BB0"/>
    <w:rsid w:val="007D1335"/>
    <w:rsid w:val="00807F13"/>
    <w:rsid w:val="0089050B"/>
    <w:rsid w:val="00890B38"/>
    <w:rsid w:val="009123EF"/>
    <w:rsid w:val="0096363C"/>
    <w:rsid w:val="00986BC0"/>
    <w:rsid w:val="00A10F39"/>
    <w:rsid w:val="00A553D3"/>
    <w:rsid w:val="00A611D1"/>
    <w:rsid w:val="00A67578"/>
    <w:rsid w:val="00AA41A1"/>
    <w:rsid w:val="00BE1E2C"/>
    <w:rsid w:val="00C00961"/>
    <w:rsid w:val="00C50658"/>
    <w:rsid w:val="00C5224C"/>
    <w:rsid w:val="00C77D72"/>
    <w:rsid w:val="00C864D9"/>
    <w:rsid w:val="00CA7D6A"/>
    <w:rsid w:val="00CC1BB2"/>
    <w:rsid w:val="00CC3F18"/>
    <w:rsid w:val="00CC7134"/>
    <w:rsid w:val="00CF2489"/>
    <w:rsid w:val="00D17ED7"/>
    <w:rsid w:val="00D43903"/>
    <w:rsid w:val="00D44349"/>
    <w:rsid w:val="00DA4CA7"/>
    <w:rsid w:val="00DD7A13"/>
    <w:rsid w:val="00DE3307"/>
    <w:rsid w:val="00DF44B2"/>
    <w:rsid w:val="00E272BF"/>
    <w:rsid w:val="00EB4B3D"/>
    <w:rsid w:val="00F01D92"/>
    <w:rsid w:val="00F37BA1"/>
    <w:rsid w:val="00F40DD0"/>
    <w:rsid w:val="00FA0A88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922CE"/>
  <w15:docId w15:val="{40A51033-8996-45AA-9E4A-ED2B36B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3D5"/>
    <w:pPr>
      <w:jc w:val="both"/>
    </w:pPr>
    <w:rPr>
      <w:rFonts w:ascii="Arial" w:eastAsia="Times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3D5"/>
  </w:style>
  <w:style w:type="paragraph" w:styleId="Footer">
    <w:name w:val="footer"/>
    <w:basedOn w:val="Normal"/>
    <w:link w:val="FooterChar"/>
    <w:uiPriority w:val="99"/>
    <w:unhideWhenUsed/>
    <w:rsid w:val="00033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3D5"/>
  </w:style>
  <w:style w:type="paragraph" w:styleId="ListNumber">
    <w:name w:val="List Number"/>
    <w:basedOn w:val="Normal"/>
    <w:semiHidden/>
    <w:rsid w:val="000333D5"/>
    <w:pPr>
      <w:numPr>
        <w:numId w:val="1"/>
      </w:numPr>
      <w:spacing w:line="360" w:lineRule="auto"/>
      <w:ind w:left="357" w:hanging="357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D5"/>
    <w:rPr>
      <w:rFonts w:ascii="Tahoma" w:eastAsia="Times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50658"/>
    <w:rPr>
      <w:b/>
      <w:bCs/>
    </w:rPr>
  </w:style>
  <w:style w:type="paragraph" w:customStyle="1" w:styleId="Default">
    <w:name w:val="Default"/>
    <w:rsid w:val="00C506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0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AD"/>
    <w:rPr>
      <w:rFonts w:ascii="Arial" w:eastAsia="Times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0AD"/>
    <w:rPr>
      <w:rFonts w:ascii="Arial" w:eastAsia="Times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Lower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Sheet1!$A$4</c:f>
              <c:strCache>
                <c:ptCount val="1"/>
                <c:pt idx="0">
                  <c:v>Lower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Sheet1!$B$3:$C$3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Sheet1!$B$4:$C$4</c:f>
              <c:numCache>
                <c:formatCode>0</c:formatCode>
                <c:ptCount val="2"/>
                <c:pt idx="0">
                  <c:v>68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05-472E-BEC7-0363E10CCB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Lower middle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Sheet1!$A$5</c:f>
              <c:strCache>
                <c:ptCount val="1"/>
                <c:pt idx="0">
                  <c:v>Lower middle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D1-48A7-9D2A-AF33F6F24726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D1-48A7-9D2A-AF33F6F2472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Sheet1!$B$5:$C$5</c:f>
              <c:numCache>
                <c:formatCode>0</c:formatCode>
                <c:ptCount val="2"/>
                <c:pt idx="0">
                  <c:v>61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D1-48A7-9D2A-AF33F6F247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Upper middle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Sheet1!$A$6</c:f>
              <c:strCache>
                <c:ptCount val="1"/>
                <c:pt idx="0">
                  <c:v>Upper middle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Sheet1!$B$6:$C$6</c:f>
              <c:numCache>
                <c:formatCode>0</c:formatCode>
                <c:ptCount val="2"/>
                <c:pt idx="0">
                  <c:v>72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7F-4C36-ADF3-07501A0F72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Upper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Sheet1!$A$7</c:f>
              <c:strCache>
                <c:ptCount val="1"/>
                <c:pt idx="0">
                  <c:v>Upper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Sheet1!$B$7:$C$7</c:f>
              <c:numCache>
                <c:formatCode>0</c:formatCode>
                <c:ptCount val="2"/>
                <c:pt idx="0">
                  <c:v>78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38-41CD-9B78-37E560EAF6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Manns</dc:creator>
  <cp:lastModifiedBy>Chris Manns</cp:lastModifiedBy>
  <cp:revision>5</cp:revision>
  <cp:lastPrinted>2018-02-19T15:08:00Z</cp:lastPrinted>
  <dcterms:created xsi:type="dcterms:W3CDTF">2022-01-19T09:57:00Z</dcterms:created>
  <dcterms:modified xsi:type="dcterms:W3CDTF">2022-04-22T15:46:00Z</dcterms:modified>
</cp:coreProperties>
</file>