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ED5C" w14:textId="77777777" w:rsidR="000333D5" w:rsidRPr="008872EF" w:rsidRDefault="000333D5" w:rsidP="001B401D">
      <w:pPr>
        <w:pStyle w:val="ListNumber"/>
        <w:numPr>
          <w:ilvl w:val="0"/>
          <w:numId w:val="0"/>
        </w:numPr>
        <w:tabs>
          <w:tab w:val="num" w:pos="1440"/>
        </w:tabs>
        <w:spacing w:line="240" w:lineRule="auto"/>
        <w:ind w:left="1440" w:hanging="540"/>
        <w:jc w:val="center"/>
        <w:rPr>
          <w:rFonts w:cs="Arial"/>
          <w:b/>
        </w:rPr>
      </w:pPr>
    </w:p>
    <w:p w14:paraId="5D45AAA8" w14:textId="77777777" w:rsidR="000333D5" w:rsidRPr="008872EF" w:rsidRDefault="000333D5" w:rsidP="001B401D">
      <w:pPr>
        <w:pStyle w:val="ListNumber"/>
        <w:numPr>
          <w:ilvl w:val="0"/>
          <w:numId w:val="0"/>
        </w:numPr>
        <w:tabs>
          <w:tab w:val="num" w:pos="1440"/>
        </w:tabs>
        <w:spacing w:line="240" w:lineRule="auto"/>
        <w:ind w:left="1440" w:hanging="540"/>
        <w:jc w:val="left"/>
        <w:rPr>
          <w:rFonts w:cs="Arial"/>
          <w:b/>
          <w:bCs/>
          <w:szCs w:val="24"/>
        </w:rPr>
      </w:pPr>
    </w:p>
    <w:p w14:paraId="54B0C8F2" w14:textId="77777777" w:rsidR="00C50658" w:rsidRPr="008872EF" w:rsidRDefault="00C50658" w:rsidP="00DF3926">
      <w:pPr>
        <w:pStyle w:val="ListNumber"/>
        <w:numPr>
          <w:ilvl w:val="0"/>
          <w:numId w:val="0"/>
        </w:numPr>
        <w:spacing w:line="240" w:lineRule="auto"/>
        <w:ind w:left="851"/>
        <w:rPr>
          <w:rStyle w:val="Strong"/>
          <w:rFonts w:cs="Arial"/>
          <w:szCs w:val="24"/>
        </w:rPr>
      </w:pPr>
      <w:r w:rsidRPr="008872EF">
        <w:rPr>
          <w:rStyle w:val="Strong"/>
          <w:rFonts w:cs="Arial"/>
          <w:szCs w:val="24"/>
        </w:rPr>
        <w:t>Introduction</w:t>
      </w:r>
    </w:p>
    <w:p w14:paraId="1D19C48F" w14:textId="77777777" w:rsidR="00C50658" w:rsidRPr="008872EF" w:rsidRDefault="00C50658" w:rsidP="001B401D">
      <w:pPr>
        <w:pStyle w:val="ListNumber"/>
        <w:numPr>
          <w:ilvl w:val="0"/>
          <w:numId w:val="0"/>
        </w:numPr>
        <w:spacing w:line="240" w:lineRule="auto"/>
        <w:ind w:left="720"/>
        <w:rPr>
          <w:rStyle w:val="Strong"/>
          <w:rFonts w:cs="Arial"/>
          <w:b w:val="0"/>
          <w:bCs w:val="0"/>
          <w:szCs w:val="24"/>
        </w:rPr>
      </w:pPr>
    </w:p>
    <w:p w14:paraId="009650DC" w14:textId="021A6FD0" w:rsidR="000333D5" w:rsidRPr="008872EF" w:rsidRDefault="00C50658" w:rsidP="00882536">
      <w:pPr>
        <w:pStyle w:val="ListNumber"/>
        <w:numPr>
          <w:ilvl w:val="0"/>
          <w:numId w:val="0"/>
        </w:numPr>
        <w:spacing w:line="240" w:lineRule="auto"/>
        <w:ind w:left="851" w:right="992"/>
        <w:rPr>
          <w:rFonts w:cs="Arial"/>
          <w:szCs w:val="24"/>
        </w:rPr>
      </w:pPr>
      <w:r w:rsidRPr="008872EF">
        <w:rPr>
          <w:rStyle w:val="Strong"/>
          <w:rFonts w:cs="Arial"/>
          <w:b w:val="0"/>
          <w:bCs w:val="0"/>
          <w:szCs w:val="24"/>
        </w:rPr>
        <w:t>South Tyne</w:t>
      </w:r>
      <w:r w:rsidR="006910AD" w:rsidRPr="008872EF">
        <w:rPr>
          <w:rStyle w:val="Strong"/>
          <w:rFonts w:cs="Arial"/>
          <w:b w:val="0"/>
          <w:bCs w:val="0"/>
          <w:szCs w:val="24"/>
        </w:rPr>
        <w:t>side Homes manages estates and C</w:t>
      </w:r>
      <w:r w:rsidRPr="008872EF">
        <w:rPr>
          <w:rStyle w:val="Strong"/>
          <w:rFonts w:cs="Arial"/>
          <w:b w:val="0"/>
          <w:bCs w:val="0"/>
          <w:szCs w:val="24"/>
        </w:rPr>
        <w:t xml:space="preserve">ouncil housing stock on behalf of South Tyneside Council. To do this effectively, we have agreed values and objectives with our partners and customers. </w:t>
      </w:r>
      <w:r w:rsidR="000333D5" w:rsidRPr="008872EF">
        <w:rPr>
          <w:rFonts w:cs="Arial"/>
          <w:szCs w:val="24"/>
        </w:rPr>
        <w:t>Our vision is to</w:t>
      </w:r>
      <w:r w:rsidR="005F2745">
        <w:rPr>
          <w:rFonts w:cs="Arial"/>
          <w:szCs w:val="24"/>
        </w:rPr>
        <w:t xml:space="preserve"> provide excellent services and quality homes where customers feel safe and supported.</w:t>
      </w:r>
    </w:p>
    <w:p w14:paraId="21A8B029" w14:textId="77777777" w:rsidR="00C50658" w:rsidRPr="008872EF" w:rsidRDefault="00C50658" w:rsidP="00882536">
      <w:pPr>
        <w:pStyle w:val="ListNumber"/>
        <w:numPr>
          <w:ilvl w:val="0"/>
          <w:numId w:val="0"/>
        </w:numPr>
        <w:spacing w:line="240" w:lineRule="auto"/>
        <w:ind w:left="851" w:right="992"/>
        <w:rPr>
          <w:rFonts w:cs="Arial"/>
          <w:szCs w:val="24"/>
        </w:rPr>
      </w:pPr>
    </w:p>
    <w:p w14:paraId="5F7ADD20" w14:textId="41A47E61" w:rsidR="00C50658" w:rsidRPr="008872EF" w:rsidRDefault="00C50658" w:rsidP="00882536">
      <w:pPr>
        <w:pStyle w:val="ListNumber"/>
        <w:numPr>
          <w:ilvl w:val="0"/>
          <w:numId w:val="0"/>
        </w:numPr>
        <w:spacing w:line="240" w:lineRule="auto"/>
        <w:ind w:left="851" w:right="992"/>
        <w:rPr>
          <w:rFonts w:cs="Arial"/>
          <w:szCs w:val="24"/>
        </w:rPr>
      </w:pPr>
      <w:r w:rsidRPr="008872EF">
        <w:rPr>
          <w:rFonts w:cs="Arial"/>
          <w:szCs w:val="24"/>
        </w:rPr>
        <w:t>We have committed to making sure that everyone is given a fair chance to access our services and employment opportunities</w:t>
      </w:r>
      <w:r w:rsidR="00D10784" w:rsidRPr="008872EF">
        <w:rPr>
          <w:rFonts w:cs="Arial"/>
          <w:szCs w:val="24"/>
        </w:rPr>
        <w:t xml:space="preserve">. </w:t>
      </w:r>
      <w:r w:rsidRPr="008872EF">
        <w:rPr>
          <w:rFonts w:cs="Arial"/>
          <w:szCs w:val="24"/>
        </w:rPr>
        <w:t xml:space="preserve">Our aim is </w:t>
      </w:r>
      <w:r w:rsidR="0062034B" w:rsidRPr="008872EF">
        <w:rPr>
          <w:rFonts w:cs="Arial"/>
          <w:szCs w:val="24"/>
        </w:rPr>
        <w:t>to be an employer of choice, to treat all people fairly and ensure our employees understand and practice our commitment to equality and diversity.</w:t>
      </w:r>
    </w:p>
    <w:p w14:paraId="7E7D2CDE" w14:textId="0F8F3758" w:rsidR="00142933" w:rsidRPr="008872EF" w:rsidRDefault="00142933" w:rsidP="00882536">
      <w:pPr>
        <w:pStyle w:val="ListNumber"/>
        <w:numPr>
          <w:ilvl w:val="0"/>
          <w:numId w:val="0"/>
        </w:numPr>
        <w:spacing w:line="240" w:lineRule="auto"/>
        <w:ind w:left="851" w:right="992"/>
        <w:rPr>
          <w:rFonts w:cs="Arial"/>
          <w:b/>
          <w:bCs/>
          <w:szCs w:val="24"/>
        </w:rPr>
      </w:pPr>
    </w:p>
    <w:p w14:paraId="58DB876F" w14:textId="154EBD82" w:rsidR="00FD42D6" w:rsidRPr="008872EF" w:rsidRDefault="00142933" w:rsidP="00882536">
      <w:pPr>
        <w:pStyle w:val="ListNumber"/>
        <w:numPr>
          <w:ilvl w:val="0"/>
          <w:numId w:val="0"/>
        </w:numPr>
        <w:spacing w:line="240" w:lineRule="auto"/>
        <w:ind w:left="851" w:right="992"/>
        <w:rPr>
          <w:rFonts w:cs="Arial"/>
          <w:i/>
          <w:iCs/>
          <w:szCs w:val="24"/>
        </w:rPr>
      </w:pPr>
      <w:r w:rsidRPr="00926DDE">
        <w:rPr>
          <w:rFonts w:cs="Arial"/>
          <w:szCs w:val="24"/>
        </w:rPr>
        <w:t>Our People Strategy 2022</w:t>
      </w:r>
      <w:r w:rsidR="00926DDE">
        <w:rPr>
          <w:rFonts w:cs="Arial"/>
          <w:szCs w:val="24"/>
        </w:rPr>
        <w:t>-</w:t>
      </w:r>
      <w:r w:rsidRPr="00926DDE">
        <w:rPr>
          <w:rFonts w:cs="Arial"/>
          <w:szCs w:val="24"/>
        </w:rPr>
        <w:t>2</w:t>
      </w:r>
      <w:r w:rsidR="00705CAE" w:rsidRPr="00926DDE">
        <w:rPr>
          <w:rFonts w:cs="Arial"/>
          <w:szCs w:val="24"/>
        </w:rPr>
        <w:t>5</w:t>
      </w:r>
      <w:r w:rsidRPr="008872EF">
        <w:rPr>
          <w:rFonts w:cs="Arial"/>
          <w:szCs w:val="24"/>
        </w:rPr>
        <w:t xml:space="preserve">, states </w:t>
      </w:r>
      <w:r w:rsidR="001E6670" w:rsidRPr="008872EF">
        <w:rPr>
          <w:rFonts w:cs="Arial"/>
          <w:szCs w:val="24"/>
        </w:rPr>
        <w:t>t</w:t>
      </w:r>
      <w:r w:rsidRPr="008872EF">
        <w:rPr>
          <w:rFonts w:cs="Arial"/>
          <w:szCs w:val="24"/>
        </w:rPr>
        <w:t>he Vision for our people strategy is “</w:t>
      </w:r>
      <w:r w:rsidR="00FD42D6" w:rsidRPr="008872EF">
        <w:rPr>
          <w:rFonts w:cs="Arial"/>
          <w:i/>
          <w:iCs/>
          <w:szCs w:val="24"/>
        </w:rPr>
        <w:t>to have a motivated, well-trained and diverse workforce that can meet the needs of the business, both now and in the future’’</w:t>
      </w:r>
    </w:p>
    <w:p w14:paraId="601A7447" w14:textId="77777777" w:rsidR="008872EF" w:rsidRDefault="008872EF" w:rsidP="00882536">
      <w:pPr>
        <w:pStyle w:val="ListNumber"/>
        <w:numPr>
          <w:ilvl w:val="0"/>
          <w:numId w:val="0"/>
        </w:numPr>
        <w:spacing w:line="240" w:lineRule="auto"/>
        <w:ind w:left="851" w:right="992"/>
        <w:rPr>
          <w:rFonts w:cs="Arial"/>
          <w:szCs w:val="24"/>
        </w:rPr>
      </w:pPr>
    </w:p>
    <w:p w14:paraId="081F5CF5" w14:textId="3A440FAF" w:rsidR="00142933" w:rsidRPr="008872EF" w:rsidRDefault="00142933" w:rsidP="00882536">
      <w:pPr>
        <w:pStyle w:val="ListNumber"/>
        <w:numPr>
          <w:ilvl w:val="0"/>
          <w:numId w:val="0"/>
        </w:numPr>
        <w:spacing w:line="240" w:lineRule="auto"/>
        <w:ind w:left="851" w:right="992"/>
        <w:rPr>
          <w:rFonts w:cs="Arial"/>
          <w:szCs w:val="24"/>
        </w:rPr>
      </w:pPr>
      <w:r w:rsidRPr="008872EF">
        <w:rPr>
          <w:rFonts w:cs="Arial"/>
          <w:szCs w:val="24"/>
        </w:rPr>
        <w:t>To support our overall strategic objective becoming an “Employer of Choice” the strategy is underpinned by having four objectives, as outlined below.</w:t>
      </w:r>
    </w:p>
    <w:p w14:paraId="6E7CE3BC" w14:textId="7EF66908" w:rsidR="00142933" w:rsidRPr="008872EF" w:rsidRDefault="00142933" w:rsidP="00882536">
      <w:pPr>
        <w:pStyle w:val="ListNumber"/>
        <w:numPr>
          <w:ilvl w:val="0"/>
          <w:numId w:val="0"/>
        </w:numPr>
        <w:spacing w:line="240" w:lineRule="auto"/>
        <w:ind w:left="851" w:right="992"/>
        <w:rPr>
          <w:rFonts w:cs="Arial"/>
          <w:szCs w:val="24"/>
        </w:rPr>
      </w:pPr>
    </w:p>
    <w:p w14:paraId="54B2BDEB" w14:textId="3A8238E5" w:rsidR="00142933" w:rsidRPr="008872EF" w:rsidRDefault="00142933" w:rsidP="00DF3926">
      <w:pPr>
        <w:pStyle w:val="ListNumber"/>
        <w:numPr>
          <w:ilvl w:val="0"/>
          <w:numId w:val="5"/>
        </w:numPr>
        <w:spacing w:line="240" w:lineRule="auto"/>
        <w:ind w:left="1560" w:right="992" w:hanging="142"/>
        <w:rPr>
          <w:rFonts w:cs="Arial"/>
          <w:szCs w:val="24"/>
        </w:rPr>
      </w:pPr>
      <w:r w:rsidRPr="008872EF">
        <w:rPr>
          <w:rFonts w:cs="Arial"/>
          <w:szCs w:val="24"/>
        </w:rPr>
        <w:t>To develop a pro-active approach to engage and ensure the wellbeing of our staff.</w:t>
      </w:r>
    </w:p>
    <w:p w14:paraId="30CD7CD0" w14:textId="1D413DFC" w:rsidR="00142933" w:rsidRPr="008872EF" w:rsidRDefault="00142933" w:rsidP="00DF3926">
      <w:pPr>
        <w:pStyle w:val="ListNumber"/>
        <w:numPr>
          <w:ilvl w:val="0"/>
          <w:numId w:val="5"/>
        </w:numPr>
        <w:spacing w:line="240" w:lineRule="auto"/>
        <w:ind w:left="1560" w:right="992" w:hanging="142"/>
        <w:rPr>
          <w:rFonts w:cs="Arial"/>
          <w:szCs w:val="24"/>
        </w:rPr>
      </w:pPr>
      <w:r w:rsidRPr="008872EF">
        <w:rPr>
          <w:rFonts w:cs="Arial"/>
          <w:szCs w:val="24"/>
        </w:rPr>
        <w:t>To develop a modern and efficient approach to recruit and retain high quality, diverse staff.</w:t>
      </w:r>
    </w:p>
    <w:p w14:paraId="6AF3B6F3" w14:textId="5F8734C6" w:rsidR="00142933" w:rsidRPr="008872EF" w:rsidRDefault="00142933" w:rsidP="00DF3926">
      <w:pPr>
        <w:pStyle w:val="ListNumber"/>
        <w:numPr>
          <w:ilvl w:val="0"/>
          <w:numId w:val="5"/>
        </w:numPr>
        <w:spacing w:line="240" w:lineRule="auto"/>
        <w:ind w:left="1560" w:right="992" w:hanging="142"/>
        <w:rPr>
          <w:rFonts w:cs="Arial"/>
          <w:szCs w:val="24"/>
        </w:rPr>
      </w:pPr>
      <w:r w:rsidRPr="008872EF">
        <w:rPr>
          <w:rFonts w:cs="Arial"/>
          <w:szCs w:val="24"/>
        </w:rPr>
        <w:t>Ensure staff skilled and knowledgeable to meet current and future challenges</w:t>
      </w:r>
      <w:r w:rsidR="00FD42D6" w:rsidRPr="008872EF">
        <w:rPr>
          <w:rFonts w:cs="Arial"/>
          <w:szCs w:val="24"/>
        </w:rPr>
        <w:t>.</w:t>
      </w:r>
    </w:p>
    <w:p w14:paraId="730DABE9" w14:textId="020B3124" w:rsidR="00142933" w:rsidRPr="008872EF" w:rsidRDefault="00142933" w:rsidP="00DF3926">
      <w:pPr>
        <w:pStyle w:val="ListNumber"/>
        <w:numPr>
          <w:ilvl w:val="0"/>
          <w:numId w:val="5"/>
        </w:numPr>
        <w:spacing w:line="240" w:lineRule="auto"/>
        <w:ind w:left="1560" w:right="992" w:hanging="142"/>
        <w:rPr>
          <w:rFonts w:cs="Arial"/>
          <w:szCs w:val="24"/>
        </w:rPr>
      </w:pPr>
      <w:r w:rsidRPr="008872EF">
        <w:rPr>
          <w:rFonts w:cs="Arial"/>
          <w:szCs w:val="24"/>
        </w:rPr>
        <w:t>Develop our workforce plan to meet the future needs of the business through training and career development opportunities.</w:t>
      </w:r>
    </w:p>
    <w:p w14:paraId="0268E196" w14:textId="55799EC5" w:rsidR="00142933" w:rsidRPr="008872EF" w:rsidRDefault="00142933" w:rsidP="00882536">
      <w:pPr>
        <w:pStyle w:val="ListNumber"/>
        <w:numPr>
          <w:ilvl w:val="0"/>
          <w:numId w:val="0"/>
        </w:numPr>
        <w:spacing w:line="240" w:lineRule="auto"/>
        <w:ind w:left="851" w:right="992"/>
        <w:rPr>
          <w:rFonts w:cs="Arial"/>
          <w:szCs w:val="24"/>
        </w:rPr>
      </w:pPr>
    </w:p>
    <w:p w14:paraId="4C02CA7F" w14:textId="25734450" w:rsidR="00142933" w:rsidRPr="008872EF" w:rsidRDefault="008C1032" w:rsidP="00882536">
      <w:pPr>
        <w:pStyle w:val="ListNumber"/>
        <w:numPr>
          <w:ilvl w:val="0"/>
          <w:numId w:val="0"/>
        </w:numPr>
        <w:spacing w:line="240" w:lineRule="auto"/>
        <w:ind w:left="851" w:right="992"/>
        <w:rPr>
          <w:rFonts w:cs="Arial"/>
          <w:szCs w:val="24"/>
        </w:rPr>
      </w:pPr>
      <w:r w:rsidRPr="008872EF">
        <w:rPr>
          <w:rFonts w:cs="Arial"/>
          <w:szCs w:val="24"/>
        </w:rPr>
        <w:t xml:space="preserve">We want our staff to be engaged and empowered at work, and to promote a proactive and supportive culture that fosters an inclusive working environment and allows a creative and collaborative workforce that affirms South Tyneside Homes is a great place to work.  </w:t>
      </w:r>
      <w:r w:rsidR="00142933" w:rsidRPr="008872EF">
        <w:rPr>
          <w:rFonts w:cs="Arial"/>
          <w:szCs w:val="24"/>
        </w:rPr>
        <w:t xml:space="preserve">The Strategy will sit alongside the equality, diversity </w:t>
      </w:r>
      <w:r w:rsidR="00A65B47" w:rsidRPr="008872EF">
        <w:rPr>
          <w:rFonts w:cs="Arial"/>
          <w:szCs w:val="24"/>
        </w:rPr>
        <w:t xml:space="preserve">(EDI) </w:t>
      </w:r>
      <w:r w:rsidR="00142933" w:rsidRPr="008872EF">
        <w:rPr>
          <w:rFonts w:cs="Arial"/>
          <w:szCs w:val="24"/>
        </w:rPr>
        <w:t>and inclusion framework to ensure it is a fundamental part of “how we do things” at South Tyneside Homes.</w:t>
      </w:r>
    </w:p>
    <w:p w14:paraId="4A517692" w14:textId="77777777" w:rsidR="00662E09" w:rsidRPr="008872EF" w:rsidRDefault="00662E09" w:rsidP="00882536">
      <w:pPr>
        <w:pStyle w:val="ListNumber"/>
        <w:numPr>
          <w:ilvl w:val="0"/>
          <w:numId w:val="0"/>
        </w:numPr>
        <w:spacing w:line="240" w:lineRule="auto"/>
        <w:ind w:left="851" w:right="992"/>
        <w:rPr>
          <w:rFonts w:cs="Arial"/>
          <w:szCs w:val="24"/>
        </w:rPr>
      </w:pPr>
    </w:p>
    <w:p w14:paraId="1D577114" w14:textId="60BA48FA" w:rsidR="00662E09" w:rsidRPr="008872EF" w:rsidRDefault="00662E09" w:rsidP="00882536">
      <w:pPr>
        <w:ind w:left="851" w:right="992"/>
        <w:rPr>
          <w:rFonts w:cs="Arial"/>
          <w:sz w:val="24"/>
          <w:szCs w:val="24"/>
        </w:rPr>
      </w:pPr>
      <w:r w:rsidRPr="008872EF">
        <w:rPr>
          <w:rFonts w:cs="Arial"/>
          <w:sz w:val="24"/>
          <w:szCs w:val="24"/>
        </w:rPr>
        <w:t xml:space="preserve">You can read further information within the </w:t>
      </w:r>
      <w:hyperlink r:id="rId8" w:history="1">
        <w:r w:rsidRPr="008872EF">
          <w:rPr>
            <w:rStyle w:val="Hyperlink"/>
            <w:rFonts w:cs="Arial"/>
            <w:sz w:val="24"/>
            <w:szCs w:val="24"/>
          </w:rPr>
          <w:t>EDI Strategy</w:t>
        </w:r>
      </w:hyperlink>
      <w:r w:rsidRPr="008872EF">
        <w:rPr>
          <w:rFonts w:cs="Arial"/>
          <w:sz w:val="24"/>
          <w:szCs w:val="24"/>
        </w:rPr>
        <w:t xml:space="preserve"> and </w:t>
      </w:r>
      <w:hyperlink r:id="rId9" w:history="1">
        <w:r w:rsidRPr="008872EF">
          <w:rPr>
            <w:rStyle w:val="Hyperlink"/>
            <w:rFonts w:cs="Arial"/>
            <w:sz w:val="24"/>
            <w:szCs w:val="24"/>
          </w:rPr>
          <w:t>EDI Policy</w:t>
        </w:r>
      </w:hyperlink>
      <w:r w:rsidR="00FD42D6" w:rsidRPr="008872EF">
        <w:rPr>
          <w:rFonts w:cs="Arial"/>
          <w:sz w:val="24"/>
          <w:szCs w:val="24"/>
        </w:rPr>
        <w:t>.</w:t>
      </w:r>
    </w:p>
    <w:p w14:paraId="5C32A5EE" w14:textId="77777777" w:rsidR="008C1032" w:rsidRPr="008872EF" w:rsidRDefault="008C1032" w:rsidP="00882536">
      <w:pPr>
        <w:ind w:left="851" w:right="992"/>
        <w:rPr>
          <w:rFonts w:cs="Arial"/>
          <w:sz w:val="24"/>
          <w:szCs w:val="24"/>
        </w:rPr>
      </w:pPr>
    </w:p>
    <w:p w14:paraId="20F4D25E" w14:textId="42DBF6C8" w:rsidR="00F40DD0" w:rsidRPr="008872EF" w:rsidRDefault="000333D5" w:rsidP="00882536">
      <w:pPr>
        <w:ind w:left="851" w:right="992"/>
        <w:rPr>
          <w:rFonts w:cs="Arial"/>
          <w:sz w:val="24"/>
          <w:szCs w:val="24"/>
        </w:rPr>
      </w:pPr>
      <w:r w:rsidRPr="008872EF">
        <w:rPr>
          <w:rFonts w:cs="Arial"/>
          <w:sz w:val="24"/>
          <w:szCs w:val="24"/>
        </w:rPr>
        <w:t>The Government require</w:t>
      </w:r>
      <w:r w:rsidR="004B290D" w:rsidRPr="008872EF">
        <w:rPr>
          <w:rFonts w:cs="Arial"/>
          <w:sz w:val="24"/>
          <w:szCs w:val="24"/>
        </w:rPr>
        <w:t>s</w:t>
      </w:r>
      <w:r w:rsidRPr="008872EF">
        <w:rPr>
          <w:rFonts w:cs="Arial"/>
          <w:sz w:val="24"/>
          <w:szCs w:val="24"/>
        </w:rPr>
        <w:t xml:space="preserve"> all employers with over 250 employees to report their gender pay gap on an annual basis</w:t>
      </w:r>
      <w:r w:rsidR="00D10784" w:rsidRPr="008872EF">
        <w:rPr>
          <w:rFonts w:cs="Arial"/>
          <w:sz w:val="24"/>
          <w:szCs w:val="24"/>
        </w:rPr>
        <w:t xml:space="preserve">. </w:t>
      </w:r>
      <w:r w:rsidR="00F40DD0" w:rsidRPr="008872EF">
        <w:rPr>
          <w:rFonts w:cs="Arial"/>
          <w:sz w:val="24"/>
          <w:szCs w:val="24"/>
        </w:rPr>
        <w:t>The gender pay gap data highlights the difference between the average pay of men and wom</w:t>
      </w:r>
      <w:r w:rsidR="006E62A8" w:rsidRPr="008872EF">
        <w:rPr>
          <w:rFonts w:cs="Arial"/>
          <w:sz w:val="24"/>
          <w:szCs w:val="24"/>
        </w:rPr>
        <w:t>e</w:t>
      </w:r>
      <w:r w:rsidR="00F40DD0" w:rsidRPr="008872EF">
        <w:rPr>
          <w:rFonts w:cs="Arial"/>
          <w:sz w:val="24"/>
          <w:szCs w:val="24"/>
        </w:rPr>
        <w:t>n; it is not a measure equal pay, which relates to what men and wom</w:t>
      </w:r>
      <w:r w:rsidR="006E62A8" w:rsidRPr="008872EF">
        <w:rPr>
          <w:rFonts w:cs="Arial"/>
          <w:sz w:val="24"/>
          <w:szCs w:val="24"/>
        </w:rPr>
        <w:t>e</w:t>
      </w:r>
      <w:r w:rsidR="00F40DD0" w:rsidRPr="008872EF">
        <w:rPr>
          <w:rFonts w:cs="Arial"/>
          <w:sz w:val="24"/>
          <w:szCs w:val="24"/>
        </w:rPr>
        <w:t>n are paid for the same or similar roles or work of equal value.  The Company is an equal pay employer</w:t>
      </w:r>
      <w:r w:rsidR="00D10784" w:rsidRPr="008872EF">
        <w:rPr>
          <w:rFonts w:cs="Arial"/>
          <w:sz w:val="24"/>
          <w:szCs w:val="24"/>
        </w:rPr>
        <w:t xml:space="preserve">. </w:t>
      </w:r>
      <w:r w:rsidR="00F40DD0" w:rsidRPr="008872EF">
        <w:rPr>
          <w:rFonts w:cs="Arial"/>
          <w:sz w:val="24"/>
          <w:szCs w:val="24"/>
        </w:rPr>
        <w:t>Our pay structure is subject to transparent and robust job evaluation processes using the recommended Gauge System.</w:t>
      </w:r>
    </w:p>
    <w:p w14:paraId="4B7AC758" w14:textId="77777777" w:rsidR="001B401D" w:rsidRDefault="001B401D" w:rsidP="00882536">
      <w:pPr>
        <w:pStyle w:val="ListNumber"/>
        <w:numPr>
          <w:ilvl w:val="0"/>
          <w:numId w:val="0"/>
        </w:numPr>
        <w:spacing w:line="240" w:lineRule="auto"/>
        <w:ind w:left="851" w:right="992" w:firstLine="720"/>
        <w:rPr>
          <w:rFonts w:cs="Arial"/>
          <w:b/>
          <w:szCs w:val="24"/>
        </w:rPr>
      </w:pPr>
    </w:p>
    <w:p w14:paraId="306290BA" w14:textId="77777777" w:rsidR="001B401D" w:rsidRDefault="001B401D" w:rsidP="00882536">
      <w:pPr>
        <w:pStyle w:val="ListNumber"/>
        <w:numPr>
          <w:ilvl w:val="0"/>
          <w:numId w:val="0"/>
        </w:numPr>
        <w:spacing w:line="240" w:lineRule="auto"/>
        <w:ind w:left="851" w:right="992" w:firstLine="720"/>
        <w:rPr>
          <w:rFonts w:cs="Arial"/>
          <w:b/>
          <w:szCs w:val="24"/>
        </w:rPr>
      </w:pPr>
    </w:p>
    <w:p w14:paraId="6C1CAE18" w14:textId="77777777" w:rsidR="00DF3926" w:rsidRDefault="00DF3926" w:rsidP="00882536">
      <w:pPr>
        <w:pStyle w:val="ListNumber"/>
        <w:numPr>
          <w:ilvl w:val="0"/>
          <w:numId w:val="0"/>
        </w:numPr>
        <w:spacing w:line="240" w:lineRule="auto"/>
        <w:ind w:left="851" w:right="992" w:firstLine="720"/>
        <w:rPr>
          <w:rFonts w:cs="Arial"/>
          <w:b/>
          <w:szCs w:val="24"/>
        </w:rPr>
      </w:pPr>
    </w:p>
    <w:p w14:paraId="4E7CE948" w14:textId="2F5FAE1E" w:rsidR="00C50658" w:rsidRPr="008872EF" w:rsidRDefault="00C50658" w:rsidP="00D10784">
      <w:pPr>
        <w:pStyle w:val="ListNumber"/>
        <w:numPr>
          <w:ilvl w:val="0"/>
          <w:numId w:val="0"/>
        </w:numPr>
        <w:spacing w:line="240" w:lineRule="auto"/>
        <w:ind w:left="851" w:right="992"/>
        <w:rPr>
          <w:rFonts w:cs="Arial"/>
          <w:b/>
          <w:szCs w:val="24"/>
        </w:rPr>
      </w:pPr>
      <w:r w:rsidRPr="008872EF">
        <w:rPr>
          <w:rFonts w:cs="Arial"/>
          <w:b/>
          <w:szCs w:val="24"/>
        </w:rPr>
        <w:lastRenderedPageBreak/>
        <w:t xml:space="preserve">Gender Pay Gap Data as at </w:t>
      </w:r>
      <w:r w:rsidR="00161486" w:rsidRPr="008872EF">
        <w:rPr>
          <w:rFonts w:cs="Arial"/>
          <w:b/>
          <w:szCs w:val="24"/>
        </w:rPr>
        <w:t>5</w:t>
      </w:r>
      <w:r w:rsidRPr="008872EF">
        <w:rPr>
          <w:rFonts w:cs="Arial"/>
          <w:b/>
          <w:szCs w:val="24"/>
          <w:vertAlign w:val="superscript"/>
        </w:rPr>
        <w:t>th</w:t>
      </w:r>
      <w:r w:rsidRPr="008872EF">
        <w:rPr>
          <w:rFonts w:cs="Arial"/>
          <w:b/>
          <w:szCs w:val="24"/>
        </w:rPr>
        <w:t xml:space="preserve"> April 20</w:t>
      </w:r>
      <w:r w:rsidR="004B290D" w:rsidRPr="008872EF">
        <w:rPr>
          <w:rFonts w:cs="Arial"/>
          <w:b/>
          <w:szCs w:val="24"/>
        </w:rPr>
        <w:t>2</w:t>
      </w:r>
      <w:r w:rsidR="00CB61A9" w:rsidRPr="008872EF">
        <w:rPr>
          <w:rFonts w:cs="Arial"/>
          <w:b/>
          <w:szCs w:val="24"/>
        </w:rPr>
        <w:t>2</w:t>
      </w:r>
    </w:p>
    <w:p w14:paraId="290E3E22" w14:textId="77777777" w:rsidR="00281219" w:rsidRPr="008872EF" w:rsidRDefault="00281219" w:rsidP="00882536">
      <w:pPr>
        <w:pStyle w:val="ListNumber"/>
        <w:numPr>
          <w:ilvl w:val="0"/>
          <w:numId w:val="0"/>
        </w:numPr>
        <w:spacing w:line="240" w:lineRule="auto"/>
        <w:ind w:left="851" w:right="992"/>
        <w:rPr>
          <w:rFonts w:cs="Arial"/>
          <w:szCs w:val="24"/>
        </w:rPr>
      </w:pPr>
    </w:p>
    <w:p w14:paraId="19395111" w14:textId="421DEA75" w:rsidR="00DF113E" w:rsidRDefault="004B0BD5" w:rsidP="00882536">
      <w:pPr>
        <w:pStyle w:val="ListNumber"/>
        <w:numPr>
          <w:ilvl w:val="0"/>
          <w:numId w:val="0"/>
        </w:numPr>
        <w:spacing w:line="240" w:lineRule="auto"/>
        <w:ind w:left="851" w:right="992"/>
        <w:rPr>
          <w:rFonts w:cs="Arial"/>
          <w:szCs w:val="24"/>
        </w:rPr>
      </w:pPr>
      <w:r w:rsidRPr="008872EF">
        <w:rPr>
          <w:rFonts w:cs="Arial"/>
          <w:szCs w:val="24"/>
        </w:rPr>
        <w:t>South Tyneside Homes</w:t>
      </w:r>
      <w:r w:rsidR="000333D5" w:rsidRPr="008872EF">
        <w:rPr>
          <w:rFonts w:cs="Arial"/>
          <w:szCs w:val="24"/>
        </w:rPr>
        <w:t xml:space="preserve"> collected data on </w:t>
      </w:r>
      <w:r w:rsidR="00161486" w:rsidRPr="008872EF">
        <w:rPr>
          <w:rFonts w:cs="Arial"/>
          <w:szCs w:val="24"/>
        </w:rPr>
        <w:t>5</w:t>
      </w:r>
      <w:r w:rsidR="00F40DD0" w:rsidRPr="008872EF">
        <w:rPr>
          <w:rFonts w:cs="Arial"/>
          <w:szCs w:val="24"/>
          <w:vertAlign w:val="superscript"/>
        </w:rPr>
        <w:t>th</w:t>
      </w:r>
      <w:r w:rsidR="00F40DD0" w:rsidRPr="008872EF">
        <w:rPr>
          <w:rFonts w:cs="Arial"/>
          <w:szCs w:val="24"/>
        </w:rPr>
        <w:t xml:space="preserve"> April</w:t>
      </w:r>
      <w:r w:rsidR="000333D5" w:rsidRPr="008872EF">
        <w:rPr>
          <w:rFonts w:cs="Arial"/>
          <w:szCs w:val="24"/>
        </w:rPr>
        <w:t xml:space="preserve"> 20</w:t>
      </w:r>
      <w:r w:rsidR="004B290D" w:rsidRPr="008872EF">
        <w:rPr>
          <w:rFonts w:cs="Arial"/>
          <w:szCs w:val="24"/>
        </w:rPr>
        <w:t>2</w:t>
      </w:r>
      <w:r w:rsidR="00CB61A9" w:rsidRPr="008872EF">
        <w:rPr>
          <w:rFonts w:cs="Arial"/>
          <w:szCs w:val="24"/>
        </w:rPr>
        <w:t>2</w:t>
      </w:r>
      <w:r w:rsidR="000333D5" w:rsidRPr="008872EF">
        <w:rPr>
          <w:rFonts w:cs="Arial"/>
          <w:szCs w:val="24"/>
        </w:rPr>
        <w:t xml:space="preserve"> at which time our workforce </w:t>
      </w:r>
      <w:r w:rsidR="003C5551" w:rsidRPr="008872EF">
        <w:rPr>
          <w:rFonts w:cs="Arial"/>
          <w:szCs w:val="24"/>
        </w:rPr>
        <w:t xml:space="preserve">(full pay relevant employees) </w:t>
      </w:r>
      <w:r w:rsidR="000333D5" w:rsidRPr="008872EF">
        <w:rPr>
          <w:rFonts w:cs="Arial"/>
          <w:szCs w:val="24"/>
        </w:rPr>
        <w:t xml:space="preserve">consisted of </w:t>
      </w:r>
      <w:r w:rsidR="006F0854" w:rsidRPr="008872EF">
        <w:rPr>
          <w:rFonts w:cs="Arial"/>
          <w:szCs w:val="24"/>
        </w:rPr>
        <w:t>4</w:t>
      </w:r>
      <w:r w:rsidR="00CB61A9" w:rsidRPr="008872EF">
        <w:rPr>
          <w:rFonts w:cs="Arial"/>
          <w:szCs w:val="24"/>
        </w:rPr>
        <w:t>31</w:t>
      </w:r>
      <w:r w:rsidR="000333D5" w:rsidRPr="008872EF">
        <w:rPr>
          <w:rFonts w:cs="Arial"/>
          <w:szCs w:val="24"/>
        </w:rPr>
        <w:t xml:space="preserve"> men and </w:t>
      </w:r>
      <w:r w:rsidR="006F0854" w:rsidRPr="008872EF">
        <w:rPr>
          <w:rFonts w:cs="Arial"/>
          <w:szCs w:val="24"/>
        </w:rPr>
        <w:t>1</w:t>
      </w:r>
      <w:r w:rsidR="00CB61A9" w:rsidRPr="008872EF">
        <w:rPr>
          <w:rFonts w:cs="Arial"/>
          <w:szCs w:val="24"/>
        </w:rPr>
        <w:t>77</w:t>
      </w:r>
      <w:r w:rsidR="006E62A8" w:rsidRPr="008872EF">
        <w:rPr>
          <w:rFonts w:cs="Arial"/>
          <w:szCs w:val="24"/>
        </w:rPr>
        <w:t xml:space="preserve"> wome</w:t>
      </w:r>
      <w:r w:rsidR="000333D5" w:rsidRPr="008872EF">
        <w:rPr>
          <w:rFonts w:cs="Arial"/>
          <w:szCs w:val="24"/>
        </w:rPr>
        <w:t>n (</w:t>
      </w:r>
      <w:r w:rsidR="006F0854" w:rsidRPr="008872EF">
        <w:rPr>
          <w:rFonts w:cs="Arial"/>
          <w:szCs w:val="24"/>
        </w:rPr>
        <w:t>7</w:t>
      </w:r>
      <w:r w:rsidR="00CB61A9" w:rsidRPr="008872EF">
        <w:rPr>
          <w:rFonts w:cs="Arial"/>
          <w:szCs w:val="24"/>
        </w:rPr>
        <w:t>1</w:t>
      </w:r>
      <w:r w:rsidR="00986BC0" w:rsidRPr="008872EF">
        <w:rPr>
          <w:rFonts w:cs="Arial"/>
          <w:szCs w:val="24"/>
        </w:rPr>
        <w:t>%</w:t>
      </w:r>
      <w:r w:rsidR="00281219" w:rsidRPr="008872EF">
        <w:rPr>
          <w:rFonts w:cs="Arial"/>
          <w:szCs w:val="24"/>
        </w:rPr>
        <w:t xml:space="preserve"> </w:t>
      </w:r>
      <w:r w:rsidR="000333D5" w:rsidRPr="008872EF">
        <w:rPr>
          <w:rFonts w:cs="Arial"/>
          <w:szCs w:val="24"/>
        </w:rPr>
        <w:t>/</w:t>
      </w:r>
      <w:r w:rsidR="00281219" w:rsidRPr="008872EF">
        <w:rPr>
          <w:rFonts w:cs="Arial"/>
          <w:szCs w:val="24"/>
        </w:rPr>
        <w:t xml:space="preserve"> </w:t>
      </w:r>
      <w:r w:rsidR="00CB61A9" w:rsidRPr="008872EF">
        <w:rPr>
          <w:rFonts w:cs="Arial"/>
          <w:szCs w:val="24"/>
        </w:rPr>
        <w:t>29</w:t>
      </w:r>
      <w:r w:rsidR="000333D5" w:rsidRPr="008872EF">
        <w:rPr>
          <w:rFonts w:cs="Arial"/>
          <w:szCs w:val="24"/>
        </w:rPr>
        <w:t>% respectively)</w:t>
      </w:r>
      <w:r w:rsidR="00D10784" w:rsidRPr="008872EF">
        <w:rPr>
          <w:rFonts w:cs="Arial"/>
          <w:szCs w:val="24"/>
        </w:rPr>
        <w:t xml:space="preserve">. </w:t>
      </w:r>
    </w:p>
    <w:p w14:paraId="60874281" w14:textId="0A33D512" w:rsidR="005F2745" w:rsidRPr="005F2745" w:rsidRDefault="00F375C0" w:rsidP="00882536">
      <w:pPr>
        <w:pStyle w:val="ListNumber"/>
        <w:numPr>
          <w:ilvl w:val="0"/>
          <w:numId w:val="0"/>
        </w:numPr>
        <w:spacing w:line="240" w:lineRule="auto"/>
        <w:ind w:left="851" w:right="992"/>
        <w:rPr>
          <w:rFonts w:cs="Arial"/>
          <w:szCs w:val="24"/>
        </w:rPr>
      </w:pPr>
      <w:r w:rsidRPr="008872EF">
        <w:rPr>
          <w:rFonts w:cs="Arial"/>
          <w:szCs w:val="24"/>
        </w:rPr>
        <w:t>The figures stated were captured on 5</w:t>
      </w:r>
      <w:r w:rsidRPr="008872EF">
        <w:rPr>
          <w:rFonts w:cs="Arial"/>
          <w:szCs w:val="24"/>
          <w:vertAlign w:val="superscript"/>
        </w:rPr>
        <w:t>th</w:t>
      </w:r>
      <w:r w:rsidRPr="008872EF">
        <w:rPr>
          <w:rFonts w:cs="Arial"/>
          <w:szCs w:val="24"/>
        </w:rPr>
        <w:t xml:space="preserve"> April 2022, before the pending pay award was confirmed in late 2022. </w:t>
      </w:r>
      <w:r w:rsidR="005F2745" w:rsidRPr="005F2745">
        <w:rPr>
          <w:rFonts w:cs="Arial"/>
          <w:szCs w:val="24"/>
        </w:rPr>
        <w:t>Full time relevant employees are defined as employees who have been paid their full usual pay during the pay period (April 2021)</w:t>
      </w:r>
      <w:r w:rsidR="00D10784" w:rsidRPr="005F2745">
        <w:rPr>
          <w:rFonts w:cs="Arial"/>
          <w:szCs w:val="24"/>
        </w:rPr>
        <w:t xml:space="preserve">. </w:t>
      </w:r>
      <w:r w:rsidR="005F2745" w:rsidRPr="005F2745">
        <w:rPr>
          <w:rFonts w:cs="Arial"/>
          <w:szCs w:val="24"/>
        </w:rPr>
        <w:t xml:space="preserve">Any employees who have received reduced pay or no pay during this period, for example those on half sick pay or reduced maternity pay must be excluded from the calculations. </w:t>
      </w:r>
    </w:p>
    <w:p w14:paraId="194F25F2" w14:textId="77777777" w:rsidR="000333D5" w:rsidRPr="008872EF" w:rsidRDefault="000333D5" w:rsidP="00882536">
      <w:pPr>
        <w:pStyle w:val="ListNumber"/>
        <w:numPr>
          <w:ilvl w:val="0"/>
          <w:numId w:val="0"/>
        </w:numPr>
        <w:spacing w:line="240" w:lineRule="auto"/>
        <w:ind w:left="851" w:right="992"/>
        <w:rPr>
          <w:rFonts w:cs="Arial"/>
          <w:szCs w:val="24"/>
        </w:rPr>
      </w:pPr>
    </w:p>
    <w:p w14:paraId="0C6F732F" w14:textId="0E1C9B65" w:rsidR="000333D5" w:rsidRPr="008872EF" w:rsidRDefault="000333D5" w:rsidP="00882536">
      <w:pPr>
        <w:ind w:left="851" w:right="992"/>
        <w:rPr>
          <w:rFonts w:cs="Arial"/>
          <w:color w:val="FF0000"/>
          <w:sz w:val="24"/>
          <w:szCs w:val="24"/>
        </w:rPr>
      </w:pPr>
      <w:r w:rsidRPr="008872EF">
        <w:rPr>
          <w:rFonts w:cs="Arial"/>
          <w:sz w:val="24"/>
          <w:szCs w:val="24"/>
        </w:rPr>
        <w:t xml:space="preserve">The figures in the table below show that the </w:t>
      </w:r>
      <w:r w:rsidR="004B0BD5" w:rsidRPr="008872EF">
        <w:rPr>
          <w:rFonts w:cs="Arial"/>
          <w:sz w:val="24"/>
          <w:szCs w:val="24"/>
        </w:rPr>
        <w:t>Company</w:t>
      </w:r>
      <w:r w:rsidRPr="008872EF">
        <w:rPr>
          <w:rFonts w:cs="Arial"/>
          <w:sz w:val="24"/>
          <w:szCs w:val="24"/>
        </w:rPr>
        <w:t xml:space="preserve"> has a mean gender pay gap of </w:t>
      </w:r>
      <w:r w:rsidR="006F0854" w:rsidRPr="008872EF">
        <w:rPr>
          <w:rFonts w:cs="Arial"/>
          <w:sz w:val="24"/>
          <w:szCs w:val="24"/>
        </w:rPr>
        <w:t>4.</w:t>
      </w:r>
      <w:r w:rsidR="00CB61A9" w:rsidRPr="008872EF">
        <w:rPr>
          <w:rFonts w:cs="Arial"/>
          <w:sz w:val="24"/>
          <w:szCs w:val="24"/>
        </w:rPr>
        <w:t>4</w:t>
      </w:r>
      <w:r w:rsidRPr="008872EF">
        <w:rPr>
          <w:rFonts w:cs="Arial"/>
          <w:sz w:val="24"/>
          <w:szCs w:val="24"/>
        </w:rPr>
        <w:t xml:space="preserve">% which is the difference between </w:t>
      </w:r>
      <w:r w:rsidR="006910AD" w:rsidRPr="008872EF">
        <w:rPr>
          <w:rFonts w:cs="Arial"/>
          <w:sz w:val="24"/>
          <w:szCs w:val="24"/>
        </w:rPr>
        <w:t xml:space="preserve">the </w:t>
      </w:r>
      <w:r w:rsidRPr="008872EF">
        <w:rPr>
          <w:rFonts w:cs="Arial"/>
          <w:sz w:val="24"/>
          <w:szCs w:val="24"/>
        </w:rPr>
        <w:t>mean (average) hourly rate of pay of male and female full pay relevant employees</w:t>
      </w:r>
      <w:r w:rsidR="00D10784" w:rsidRPr="008872EF">
        <w:rPr>
          <w:rFonts w:cs="Arial"/>
          <w:sz w:val="24"/>
          <w:szCs w:val="24"/>
        </w:rPr>
        <w:t xml:space="preserve">. </w:t>
      </w:r>
      <w:r w:rsidR="00986BC0" w:rsidRPr="008872EF">
        <w:rPr>
          <w:rFonts w:cs="Arial"/>
          <w:sz w:val="24"/>
          <w:szCs w:val="24"/>
        </w:rPr>
        <w:t xml:space="preserve">This </w:t>
      </w:r>
      <w:r w:rsidR="00890B38" w:rsidRPr="008872EF">
        <w:rPr>
          <w:rFonts w:cs="Arial"/>
          <w:sz w:val="24"/>
          <w:szCs w:val="24"/>
        </w:rPr>
        <w:t>is a</w:t>
      </w:r>
      <w:r w:rsidR="006F0854" w:rsidRPr="008872EF">
        <w:rPr>
          <w:rFonts w:cs="Arial"/>
          <w:sz w:val="24"/>
          <w:szCs w:val="24"/>
        </w:rPr>
        <w:t>n</w:t>
      </w:r>
      <w:r w:rsidR="00890B38" w:rsidRPr="008872EF">
        <w:rPr>
          <w:rFonts w:cs="Arial"/>
          <w:sz w:val="24"/>
          <w:szCs w:val="24"/>
        </w:rPr>
        <w:t xml:space="preserve"> </w:t>
      </w:r>
      <w:r w:rsidR="006F0854" w:rsidRPr="008872EF">
        <w:rPr>
          <w:rFonts w:cs="Arial"/>
          <w:sz w:val="24"/>
          <w:szCs w:val="24"/>
        </w:rPr>
        <w:t>in</w:t>
      </w:r>
      <w:r w:rsidR="00890B38" w:rsidRPr="008872EF">
        <w:rPr>
          <w:rFonts w:cs="Arial"/>
          <w:sz w:val="24"/>
          <w:szCs w:val="24"/>
        </w:rPr>
        <w:t>crease</w:t>
      </w:r>
      <w:r w:rsidR="00986BC0" w:rsidRPr="008872EF">
        <w:rPr>
          <w:rFonts w:cs="Arial"/>
          <w:sz w:val="24"/>
          <w:szCs w:val="24"/>
        </w:rPr>
        <w:t xml:space="preserve"> from </w:t>
      </w:r>
      <w:r w:rsidR="00CB61A9" w:rsidRPr="008872EF">
        <w:rPr>
          <w:rFonts w:cs="Arial"/>
          <w:sz w:val="24"/>
          <w:szCs w:val="24"/>
        </w:rPr>
        <w:t>4.34</w:t>
      </w:r>
      <w:r w:rsidR="00986BC0" w:rsidRPr="008872EF">
        <w:rPr>
          <w:rFonts w:cs="Arial"/>
          <w:sz w:val="24"/>
          <w:szCs w:val="24"/>
        </w:rPr>
        <w:t>% in April 20</w:t>
      </w:r>
      <w:r w:rsidR="006F0854" w:rsidRPr="008872EF">
        <w:rPr>
          <w:rFonts w:cs="Arial"/>
          <w:sz w:val="24"/>
          <w:szCs w:val="24"/>
        </w:rPr>
        <w:t>2</w:t>
      </w:r>
      <w:r w:rsidR="00A65B47" w:rsidRPr="008872EF">
        <w:rPr>
          <w:rFonts w:cs="Arial"/>
          <w:sz w:val="24"/>
          <w:szCs w:val="24"/>
        </w:rPr>
        <w:t>1</w:t>
      </w:r>
      <w:r w:rsidR="00D43903" w:rsidRPr="008872EF">
        <w:rPr>
          <w:rFonts w:cs="Arial"/>
          <w:sz w:val="24"/>
          <w:szCs w:val="24"/>
        </w:rPr>
        <w:t xml:space="preserve"> but 1.</w:t>
      </w:r>
      <w:r w:rsidR="00CB61A9" w:rsidRPr="008872EF">
        <w:rPr>
          <w:rFonts w:cs="Arial"/>
          <w:sz w:val="24"/>
          <w:szCs w:val="24"/>
        </w:rPr>
        <w:t>14</w:t>
      </w:r>
      <w:r w:rsidR="00D43903" w:rsidRPr="008872EF">
        <w:rPr>
          <w:rFonts w:cs="Arial"/>
          <w:sz w:val="24"/>
          <w:szCs w:val="24"/>
        </w:rPr>
        <w:t>% decrease from April 2017 when the figures were first reported</w:t>
      </w:r>
      <w:r w:rsidR="00D10784" w:rsidRPr="008872EF">
        <w:rPr>
          <w:rFonts w:cs="Arial"/>
          <w:sz w:val="24"/>
          <w:szCs w:val="24"/>
        </w:rPr>
        <w:t xml:space="preserve">. </w:t>
      </w:r>
      <w:r w:rsidRPr="008872EF">
        <w:rPr>
          <w:rFonts w:cs="Arial"/>
          <w:sz w:val="24"/>
          <w:szCs w:val="24"/>
        </w:rPr>
        <w:t>The median gender pay gap is the difference between the median hour</w:t>
      </w:r>
      <w:r w:rsidR="00292F07" w:rsidRPr="008872EF">
        <w:rPr>
          <w:rFonts w:cs="Arial"/>
          <w:sz w:val="24"/>
          <w:szCs w:val="24"/>
        </w:rPr>
        <w:t>ly</w:t>
      </w:r>
      <w:r w:rsidRPr="008872EF">
        <w:rPr>
          <w:rFonts w:cs="Arial"/>
          <w:sz w:val="24"/>
          <w:szCs w:val="24"/>
        </w:rPr>
        <w:t xml:space="preserve"> rate of male and female full pay relevant employees and is </w:t>
      </w:r>
      <w:r w:rsidR="004B290D" w:rsidRPr="008872EF">
        <w:rPr>
          <w:rFonts w:cs="Arial"/>
          <w:sz w:val="24"/>
          <w:szCs w:val="24"/>
        </w:rPr>
        <w:t>0</w:t>
      </w:r>
      <w:r w:rsidRPr="008872EF">
        <w:rPr>
          <w:rFonts w:cs="Arial"/>
          <w:sz w:val="24"/>
          <w:szCs w:val="24"/>
        </w:rPr>
        <w:t>%</w:t>
      </w:r>
      <w:r w:rsidR="00986BC0" w:rsidRPr="008872EF">
        <w:rPr>
          <w:rFonts w:cs="Arial"/>
          <w:sz w:val="24"/>
          <w:szCs w:val="24"/>
        </w:rPr>
        <w:t xml:space="preserve"> which </w:t>
      </w:r>
      <w:r w:rsidR="00CB61A9" w:rsidRPr="008872EF">
        <w:rPr>
          <w:rFonts w:cs="Arial"/>
          <w:sz w:val="24"/>
          <w:szCs w:val="24"/>
        </w:rPr>
        <w:t>is the same as</w:t>
      </w:r>
      <w:r w:rsidR="00986BC0" w:rsidRPr="008872EF">
        <w:rPr>
          <w:rFonts w:cs="Arial"/>
          <w:sz w:val="24"/>
          <w:szCs w:val="24"/>
        </w:rPr>
        <w:t xml:space="preserve"> in April </w:t>
      </w:r>
      <w:r w:rsidR="006D621F" w:rsidRPr="008872EF">
        <w:rPr>
          <w:rFonts w:cs="Arial"/>
          <w:sz w:val="24"/>
          <w:szCs w:val="24"/>
        </w:rPr>
        <w:t>202</w:t>
      </w:r>
      <w:r w:rsidR="00A65B47" w:rsidRPr="008872EF">
        <w:rPr>
          <w:rFonts w:cs="Arial"/>
          <w:sz w:val="24"/>
          <w:szCs w:val="24"/>
        </w:rPr>
        <w:t>1</w:t>
      </w:r>
      <w:r w:rsidRPr="008872EF">
        <w:rPr>
          <w:rFonts w:cs="Arial"/>
          <w:sz w:val="24"/>
          <w:szCs w:val="24"/>
        </w:rPr>
        <w:t xml:space="preserve">  </w:t>
      </w:r>
      <w:r w:rsidR="006D621F" w:rsidRPr="008872EF">
        <w:rPr>
          <w:rFonts w:cs="Arial"/>
          <w:sz w:val="24"/>
        </w:rPr>
        <w:t xml:space="preserve">The annual survey of hours and earnings (ASHE) gender pay gap tables released by the Office of National Statistics Great Britain in November 2021 shows an average mean gender pay gap across all employers in the Public Sector of 14.8% and a median gender pay gap of 18% </w:t>
      </w:r>
      <w:r w:rsidR="00986BC0" w:rsidRPr="008872EF">
        <w:rPr>
          <w:rFonts w:cs="Arial"/>
          <w:sz w:val="24"/>
        </w:rPr>
        <w:t>therefore the Company remains well below the national average.</w:t>
      </w:r>
      <w:r w:rsidR="006D621F" w:rsidRPr="008872EF">
        <w:rPr>
          <w:rFonts w:cs="Arial"/>
          <w:sz w:val="24"/>
        </w:rPr>
        <w:t xml:space="preserve"> </w:t>
      </w:r>
    </w:p>
    <w:p w14:paraId="2AA28361" w14:textId="77777777" w:rsidR="00DF44B2" w:rsidRPr="008872EF" w:rsidRDefault="00DF44B2" w:rsidP="00882536">
      <w:pPr>
        <w:ind w:left="851" w:right="992"/>
        <w:rPr>
          <w:rFonts w:cs="Arial"/>
          <w:sz w:val="24"/>
          <w:szCs w:val="24"/>
        </w:rPr>
      </w:pPr>
    </w:p>
    <w:p w14:paraId="3796E7A5" w14:textId="2D8712F5" w:rsidR="00DF44B2" w:rsidRPr="008872EF" w:rsidRDefault="00DF44B2" w:rsidP="00882536">
      <w:pPr>
        <w:ind w:left="851" w:right="992"/>
        <w:rPr>
          <w:rFonts w:cs="Arial"/>
          <w:sz w:val="24"/>
          <w:szCs w:val="24"/>
        </w:rPr>
      </w:pPr>
      <w:r w:rsidRPr="008872EF">
        <w:rPr>
          <w:rFonts w:cs="Arial"/>
          <w:sz w:val="24"/>
          <w:szCs w:val="24"/>
        </w:rPr>
        <w:t xml:space="preserve">The Company does not pay bonus payments and therefore does not have a gender pay gap </w:t>
      </w:r>
      <w:r w:rsidR="00FF61C5" w:rsidRPr="008872EF">
        <w:rPr>
          <w:rFonts w:cs="Arial"/>
          <w:sz w:val="24"/>
          <w:szCs w:val="24"/>
        </w:rPr>
        <w:t>to report</w:t>
      </w:r>
      <w:r w:rsidRPr="008872EF">
        <w:rPr>
          <w:rFonts w:cs="Arial"/>
          <w:sz w:val="24"/>
          <w:szCs w:val="24"/>
        </w:rPr>
        <w:t>.</w:t>
      </w:r>
    </w:p>
    <w:p w14:paraId="31EEFEAC" w14:textId="38ACD2C5" w:rsidR="006D669C" w:rsidRPr="008872EF" w:rsidRDefault="006D669C" w:rsidP="00882536">
      <w:pPr>
        <w:ind w:left="851" w:right="992"/>
        <w:rPr>
          <w:rFonts w:cs="Arial"/>
          <w:sz w:val="24"/>
          <w:szCs w:val="24"/>
        </w:rPr>
      </w:pPr>
    </w:p>
    <w:p w14:paraId="334182C1" w14:textId="77777777" w:rsidR="00DF44B2" w:rsidRPr="008872EF" w:rsidRDefault="00DF44B2" w:rsidP="001B401D">
      <w:pPr>
        <w:ind w:left="720"/>
        <w:rPr>
          <w:rFonts w:cs="Arial"/>
          <w:sz w:val="24"/>
          <w:szCs w:val="24"/>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452"/>
        <w:gridCol w:w="1453"/>
        <w:gridCol w:w="1453"/>
        <w:gridCol w:w="1453"/>
        <w:gridCol w:w="1453"/>
        <w:gridCol w:w="1276"/>
        <w:gridCol w:w="1134"/>
      </w:tblGrid>
      <w:tr w:rsidR="00CB61A9" w:rsidRPr="001B401D" w14:paraId="2407525F" w14:textId="77777777" w:rsidTr="001B401D">
        <w:tc>
          <w:tcPr>
            <w:tcW w:w="1666" w:type="dxa"/>
            <w:shd w:val="clear" w:color="auto" w:fill="D9D9D9"/>
          </w:tcPr>
          <w:p w14:paraId="7341E979" w14:textId="77777777" w:rsidR="00CB61A9" w:rsidRPr="001B401D" w:rsidRDefault="00CB61A9" w:rsidP="001B401D">
            <w:pPr>
              <w:tabs>
                <w:tab w:val="num" w:pos="1440"/>
              </w:tabs>
              <w:jc w:val="left"/>
              <w:rPr>
                <w:rFonts w:cs="Arial"/>
                <w:sz w:val="22"/>
                <w:szCs w:val="22"/>
              </w:rPr>
            </w:pPr>
          </w:p>
        </w:tc>
        <w:tc>
          <w:tcPr>
            <w:tcW w:w="1452" w:type="dxa"/>
            <w:shd w:val="clear" w:color="auto" w:fill="D9D9D9"/>
          </w:tcPr>
          <w:p w14:paraId="42A6AC1C" w14:textId="77777777" w:rsidR="00CB61A9" w:rsidRPr="001B401D" w:rsidRDefault="00CB61A9" w:rsidP="001B401D">
            <w:pPr>
              <w:jc w:val="left"/>
              <w:rPr>
                <w:rFonts w:cs="Arial"/>
                <w:b/>
                <w:sz w:val="22"/>
                <w:szCs w:val="22"/>
              </w:rPr>
            </w:pPr>
            <w:r w:rsidRPr="001B401D">
              <w:rPr>
                <w:rFonts w:cs="Arial"/>
                <w:b/>
                <w:sz w:val="22"/>
                <w:szCs w:val="22"/>
              </w:rPr>
              <w:t>Women’s earnings at 5th April 2017 are</w:t>
            </w:r>
          </w:p>
        </w:tc>
        <w:tc>
          <w:tcPr>
            <w:tcW w:w="1453" w:type="dxa"/>
            <w:shd w:val="clear" w:color="auto" w:fill="D9D9D9"/>
          </w:tcPr>
          <w:p w14:paraId="0F259068" w14:textId="77777777" w:rsidR="00CB61A9" w:rsidRPr="001B401D" w:rsidRDefault="00CB61A9" w:rsidP="001B401D">
            <w:pPr>
              <w:jc w:val="left"/>
              <w:rPr>
                <w:rFonts w:cs="Arial"/>
                <w:b/>
                <w:sz w:val="22"/>
                <w:szCs w:val="22"/>
              </w:rPr>
            </w:pPr>
            <w:r w:rsidRPr="001B401D">
              <w:rPr>
                <w:rFonts w:cs="Arial"/>
                <w:b/>
                <w:sz w:val="22"/>
                <w:szCs w:val="22"/>
              </w:rPr>
              <w:t>Women’s earnings at 5th April 2018 are</w:t>
            </w:r>
          </w:p>
        </w:tc>
        <w:tc>
          <w:tcPr>
            <w:tcW w:w="1453" w:type="dxa"/>
            <w:shd w:val="clear" w:color="auto" w:fill="D9D9D9"/>
          </w:tcPr>
          <w:p w14:paraId="2F219E47" w14:textId="77777777" w:rsidR="00CB61A9" w:rsidRPr="001B401D" w:rsidRDefault="00CB61A9" w:rsidP="001B401D">
            <w:pPr>
              <w:tabs>
                <w:tab w:val="num" w:pos="1440"/>
              </w:tabs>
              <w:jc w:val="left"/>
              <w:rPr>
                <w:rFonts w:cs="Arial"/>
                <w:b/>
                <w:sz w:val="22"/>
                <w:szCs w:val="22"/>
              </w:rPr>
            </w:pPr>
            <w:r w:rsidRPr="001B401D">
              <w:rPr>
                <w:rFonts w:cs="Arial"/>
                <w:b/>
                <w:sz w:val="22"/>
                <w:szCs w:val="22"/>
              </w:rPr>
              <w:t>Women’s earnings at 5</w:t>
            </w:r>
            <w:r w:rsidRPr="001B401D">
              <w:rPr>
                <w:rFonts w:cs="Arial"/>
                <w:b/>
                <w:sz w:val="22"/>
                <w:szCs w:val="22"/>
                <w:vertAlign w:val="superscript"/>
              </w:rPr>
              <w:t>th</w:t>
            </w:r>
            <w:r w:rsidRPr="001B401D">
              <w:rPr>
                <w:rFonts w:cs="Arial"/>
                <w:b/>
                <w:sz w:val="22"/>
                <w:szCs w:val="22"/>
              </w:rPr>
              <w:t xml:space="preserve"> April 2019 are</w:t>
            </w:r>
          </w:p>
        </w:tc>
        <w:tc>
          <w:tcPr>
            <w:tcW w:w="1453" w:type="dxa"/>
            <w:shd w:val="clear" w:color="auto" w:fill="D9D9D9"/>
          </w:tcPr>
          <w:p w14:paraId="4E355DA5" w14:textId="309ED20A" w:rsidR="00CB61A9" w:rsidRPr="001B401D" w:rsidRDefault="00CB61A9" w:rsidP="001B401D">
            <w:pPr>
              <w:tabs>
                <w:tab w:val="num" w:pos="1440"/>
              </w:tabs>
              <w:jc w:val="left"/>
              <w:rPr>
                <w:rFonts w:cs="Arial"/>
                <w:b/>
                <w:sz w:val="22"/>
                <w:szCs w:val="22"/>
              </w:rPr>
            </w:pPr>
            <w:r w:rsidRPr="001B401D">
              <w:rPr>
                <w:rFonts w:cs="Arial"/>
                <w:b/>
                <w:sz w:val="22"/>
                <w:szCs w:val="22"/>
              </w:rPr>
              <w:t>Women’s earning at 5</w:t>
            </w:r>
            <w:r w:rsidRPr="001B401D">
              <w:rPr>
                <w:rFonts w:cs="Arial"/>
                <w:b/>
                <w:sz w:val="22"/>
                <w:szCs w:val="22"/>
                <w:vertAlign w:val="superscript"/>
              </w:rPr>
              <w:t>th</w:t>
            </w:r>
            <w:r w:rsidRPr="001B401D">
              <w:rPr>
                <w:rFonts w:cs="Arial"/>
                <w:b/>
                <w:sz w:val="22"/>
                <w:szCs w:val="22"/>
              </w:rPr>
              <w:t xml:space="preserve"> April 2020 are</w:t>
            </w:r>
          </w:p>
        </w:tc>
        <w:tc>
          <w:tcPr>
            <w:tcW w:w="1453" w:type="dxa"/>
            <w:shd w:val="clear" w:color="auto" w:fill="D9D9D9"/>
          </w:tcPr>
          <w:p w14:paraId="5EDEAB03" w14:textId="3733DE18" w:rsidR="00CB61A9" w:rsidRPr="001B401D" w:rsidRDefault="00CB61A9" w:rsidP="001B401D">
            <w:pPr>
              <w:tabs>
                <w:tab w:val="num" w:pos="1440"/>
              </w:tabs>
              <w:jc w:val="left"/>
              <w:rPr>
                <w:rFonts w:cs="Arial"/>
                <w:b/>
                <w:sz w:val="22"/>
                <w:szCs w:val="22"/>
              </w:rPr>
            </w:pPr>
            <w:r w:rsidRPr="001B401D">
              <w:rPr>
                <w:rFonts w:cs="Arial"/>
                <w:b/>
                <w:sz w:val="22"/>
                <w:szCs w:val="22"/>
              </w:rPr>
              <w:t>Women’s earning at 5</w:t>
            </w:r>
            <w:r w:rsidRPr="001B401D">
              <w:rPr>
                <w:rFonts w:cs="Arial"/>
                <w:b/>
                <w:sz w:val="22"/>
                <w:szCs w:val="22"/>
                <w:vertAlign w:val="superscript"/>
              </w:rPr>
              <w:t>th</w:t>
            </w:r>
            <w:r w:rsidRPr="001B401D">
              <w:rPr>
                <w:rFonts w:cs="Arial"/>
                <w:b/>
                <w:sz w:val="22"/>
                <w:szCs w:val="22"/>
              </w:rPr>
              <w:t xml:space="preserve"> April 2021 are</w:t>
            </w:r>
          </w:p>
        </w:tc>
        <w:tc>
          <w:tcPr>
            <w:tcW w:w="1276" w:type="dxa"/>
            <w:shd w:val="clear" w:color="auto" w:fill="D9D9D9"/>
          </w:tcPr>
          <w:p w14:paraId="4DE2863E" w14:textId="3823AB12" w:rsidR="00CB61A9" w:rsidRPr="001B401D" w:rsidRDefault="00CB61A9" w:rsidP="001B401D">
            <w:pPr>
              <w:tabs>
                <w:tab w:val="num" w:pos="1440"/>
              </w:tabs>
              <w:jc w:val="left"/>
              <w:rPr>
                <w:rFonts w:cs="Arial"/>
                <w:b/>
                <w:sz w:val="22"/>
                <w:szCs w:val="22"/>
              </w:rPr>
            </w:pPr>
            <w:r w:rsidRPr="001B401D">
              <w:rPr>
                <w:rFonts w:cs="Arial"/>
                <w:b/>
                <w:sz w:val="22"/>
                <w:szCs w:val="22"/>
              </w:rPr>
              <w:t>Women’s earning at 5</w:t>
            </w:r>
            <w:r w:rsidRPr="001B401D">
              <w:rPr>
                <w:rFonts w:cs="Arial"/>
                <w:b/>
                <w:sz w:val="22"/>
                <w:szCs w:val="22"/>
                <w:vertAlign w:val="superscript"/>
              </w:rPr>
              <w:t>th</w:t>
            </w:r>
            <w:r w:rsidRPr="001B401D">
              <w:rPr>
                <w:rFonts w:cs="Arial"/>
                <w:b/>
                <w:sz w:val="22"/>
                <w:szCs w:val="22"/>
              </w:rPr>
              <w:t xml:space="preserve"> April 2022 are</w:t>
            </w:r>
          </w:p>
        </w:tc>
        <w:tc>
          <w:tcPr>
            <w:tcW w:w="1134" w:type="dxa"/>
            <w:shd w:val="clear" w:color="auto" w:fill="D9D9D9"/>
          </w:tcPr>
          <w:p w14:paraId="37C1E1FC" w14:textId="4548671C" w:rsidR="00CB61A9" w:rsidRPr="001B401D" w:rsidRDefault="00CB61A9" w:rsidP="001B401D">
            <w:pPr>
              <w:tabs>
                <w:tab w:val="num" w:pos="1440"/>
              </w:tabs>
              <w:jc w:val="left"/>
              <w:rPr>
                <w:rFonts w:cs="Arial"/>
                <w:b/>
                <w:color w:val="FF0000"/>
                <w:sz w:val="22"/>
                <w:szCs w:val="22"/>
              </w:rPr>
            </w:pPr>
            <w:r w:rsidRPr="001B401D">
              <w:rPr>
                <w:rFonts w:cs="Arial"/>
                <w:b/>
                <w:sz w:val="22"/>
                <w:szCs w:val="22"/>
              </w:rPr>
              <w:t>Variance 2021 – 2022</w:t>
            </w:r>
          </w:p>
        </w:tc>
      </w:tr>
      <w:tr w:rsidR="00CB61A9" w:rsidRPr="001B401D" w14:paraId="11BDFB64" w14:textId="77777777" w:rsidTr="001B401D">
        <w:tc>
          <w:tcPr>
            <w:tcW w:w="1666" w:type="dxa"/>
            <w:shd w:val="clear" w:color="auto" w:fill="D9D9D9"/>
          </w:tcPr>
          <w:p w14:paraId="47EFC779" w14:textId="77777777" w:rsidR="00CB61A9" w:rsidRPr="001B401D" w:rsidRDefault="00CB61A9" w:rsidP="001B401D">
            <w:pPr>
              <w:tabs>
                <w:tab w:val="num" w:pos="1440"/>
              </w:tabs>
              <w:jc w:val="left"/>
              <w:rPr>
                <w:rFonts w:cs="Arial"/>
                <w:b/>
                <w:sz w:val="22"/>
                <w:szCs w:val="22"/>
              </w:rPr>
            </w:pPr>
            <w:r w:rsidRPr="001B401D">
              <w:rPr>
                <w:rFonts w:cs="Arial"/>
                <w:b/>
                <w:sz w:val="22"/>
                <w:szCs w:val="22"/>
              </w:rPr>
              <w:t>Mean gender pay gap in hourly pay</w:t>
            </w:r>
          </w:p>
        </w:tc>
        <w:tc>
          <w:tcPr>
            <w:tcW w:w="1452" w:type="dxa"/>
          </w:tcPr>
          <w:p w14:paraId="54C4594D" w14:textId="77777777" w:rsidR="00CB61A9" w:rsidRPr="001B401D" w:rsidRDefault="00CB61A9" w:rsidP="001B401D">
            <w:pPr>
              <w:tabs>
                <w:tab w:val="num" w:pos="1440"/>
              </w:tabs>
              <w:jc w:val="left"/>
              <w:rPr>
                <w:rFonts w:cs="Arial"/>
                <w:sz w:val="22"/>
                <w:szCs w:val="22"/>
              </w:rPr>
            </w:pPr>
            <w:r w:rsidRPr="001B401D">
              <w:rPr>
                <w:rFonts w:cs="Arial"/>
                <w:sz w:val="22"/>
                <w:szCs w:val="22"/>
              </w:rPr>
              <w:t>5.54% lower</w:t>
            </w:r>
          </w:p>
        </w:tc>
        <w:tc>
          <w:tcPr>
            <w:tcW w:w="1453" w:type="dxa"/>
          </w:tcPr>
          <w:p w14:paraId="0BA2D1D7" w14:textId="77777777" w:rsidR="00CB61A9" w:rsidRPr="001B401D" w:rsidRDefault="00CB61A9" w:rsidP="001B401D">
            <w:pPr>
              <w:rPr>
                <w:rFonts w:cs="Arial"/>
                <w:sz w:val="22"/>
                <w:szCs w:val="22"/>
              </w:rPr>
            </w:pPr>
            <w:r w:rsidRPr="001B401D">
              <w:rPr>
                <w:rFonts w:cs="Arial"/>
                <w:sz w:val="22"/>
                <w:szCs w:val="22"/>
              </w:rPr>
              <w:t>5.04% lower</w:t>
            </w:r>
          </w:p>
        </w:tc>
        <w:tc>
          <w:tcPr>
            <w:tcW w:w="1453" w:type="dxa"/>
          </w:tcPr>
          <w:p w14:paraId="0058EA0B" w14:textId="77777777" w:rsidR="00CB61A9" w:rsidRPr="001B401D" w:rsidRDefault="00CB61A9" w:rsidP="001B401D">
            <w:pPr>
              <w:tabs>
                <w:tab w:val="num" w:pos="1440"/>
              </w:tabs>
              <w:jc w:val="left"/>
              <w:rPr>
                <w:rFonts w:cs="Arial"/>
                <w:sz w:val="22"/>
                <w:szCs w:val="22"/>
              </w:rPr>
            </w:pPr>
            <w:r w:rsidRPr="001B401D">
              <w:rPr>
                <w:rFonts w:cs="Arial"/>
                <w:sz w:val="22"/>
                <w:szCs w:val="22"/>
              </w:rPr>
              <w:t>5.38% lower</w:t>
            </w:r>
          </w:p>
        </w:tc>
        <w:tc>
          <w:tcPr>
            <w:tcW w:w="1453" w:type="dxa"/>
          </w:tcPr>
          <w:p w14:paraId="3ECD1853" w14:textId="2D544FDC" w:rsidR="00CB61A9" w:rsidRPr="001B401D" w:rsidRDefault="00CB61A9" w:rsidP="001B401D">
            <w:pPr>
              <w:tabs>
                <w:tab w:val="num" w:pos="1440"/>
              </w:tabs>
              <w:jc w:val="left"/>
              <w:rPr>
                <w:rFonts w:cs="Arial"/>
                <w:sz w:val="22"/>
                <w:szCs w:val="22"/>
              </w:rPr>
            </w:pPr>
            <w:r w:rsidRPr="001B401D">
              <w:rPr>
                <w:rFonts w:cs="Arial"/>
                <w:sz w:val="22"/>
                <w:szCs w:val="22"/>
              </w:rPr>
              <w:t>3.20% lower</w:t>
            </w:r>
          </w:p>
        </w:tc>
        <w:tc>
          <w:tcPr>
            <w:tcW w:w="1453" w:type="dxa"/>
          </w:tcPr>
          <w:p w14:paraId="62C44891" w14:textId="6D7A0F28" w:rsidR="00CB61A9" w:rsidRPr="001B401D" w:rsidRDefault="00CB61A9" w:rsidP="001B401D">
            <w:pPr>
              <w:tabs>
                <w:tab w:val="num" w:pos="1440"/>
              </w:tabs>
              <w:jc w:val="left"/>
              <w:rPr>
                <w:rFonts w:cs="Arial"/>
                <w:sz w:val="22"/>
                <w:szCs w:val="22"/>
              </w:rPr>
            </w:pPr>
            <w:r w:rsidRPr="001B401D">
              <w:rPr>
                <w:rFonts w:cs="Arial"/>
                <w:sz w:val="22"/>
                <w:szCs w:val="22"/>
              </w:rPr>
              <w:t>4.34% lower</w:t>
            </w:r>
          </w:p>
        </w:tc>
        <w:tc>
          <w:tcPr>
            <w:tcW w:w="1276" w:type="dxa"/>
          </w:tcPr>
          <w:p w14:paraId="1866D58C" w14:textId="647D6923" w:rsidR="00CB61A9" w:rsidRPr="001B401D" w:rsidRDefault="00CB61A9" w:rsidP="001B401D">
            <w:pPr>
              <w:tabs>
                <w:tab w:val="num" w:pos="1440"/>
              </w:tabs>
              <w:jc w:val="left"/>
              <w:rPr>
                <w:rFonts w:cs="Arial"/>
                <w:sz w:val="22"/>
                <w:szCs w:val="22"/>
              </w:rPr>
            </w:pPr>
            <w:r w:rsidRPr="001B401D">
              <w:rPr>
                <w:rFonts w:cs="Arial"/>
                <w:sz w:val="22"/>
                <w:szCs w:val="22"/>
              </w:rPr>
              <w:t>4.4% lower</w:t>
            </w:r>
          </w:p>
        </w:tc>
        <w:tc>
          <w:tcPr>
            <w:tcW w:w="1134" w:type="dxa"/>
          </w:tcPr>
          <w:p w14:paraId="6E175FAA" w14:textId="19DC381D" w:rsidR="00CB61A9" w:rsidRPr="001B401D" w:rsidRDefault="00CB61A9" w:rsidP="001B401D">
            <w:pPr>
              <w:tabs>
                <w:tab w:val="num" w:pos="1440"/>
              </w:tabs>
              <w:jc w:val="left"/>
              <w:rPr>
                <w:rFonts w:cs="Arial"/>
                <w:sz w:val="22"/>
                <w:szCs w:val="22"/>
              </w:rPr>
            </w:pPr>
            <w:r w:rsidRPr="001B401D">
              <w:rPr>
                <w:rFonts w:cs="Arial"/>
                <w:sz w:val="22"/>
                <w:szCs w:val="22"/>
              </w:rPr>
              <w:t>0.06 increase</w:t>
            </w:r>
          </w:p>
        </w:tc>
      </w:tr>
      <w:tr w:rsidR="00CB61A9" w:rsidRPr="001B401D" w14:paraId="6CB5070F" w14:textId="77777777" w:rsidTr="001B401D">
        <w:tc>
          <w:tcPr>
            <w:tcW w:w="1666" w:type="dxa"/>
            <w:shd w:val="clear" w:color="auto" w:fill="D9D9D9"/>
          </w:tcPr>
          <w:p w14:paraId="4061EC24" w14:textId="77777777" w:rsidR="00CB61A9" w:rsidRPr="001B401D" w:rsidRDefault="00CB61A9" w:rsidP="001B401D">
            <w:pPr>
              <w:tabs>
                <w:tab w:val="num" w:pos="1440"/>
              </w:tabs>
              <w:jc w:val="left"/>
              <w:rPr>
                <w:rFonts w:cs="Arial"/>
                <w:b/>
                <w:sz w:val="22"/>
                <w:szCs w:val="22"/>
              </w:rPr>
            </w:pPr>
            <w:r w:rsidRPr="001B401D">
              <w:rPr>
                <w:rFonts w:cs="Arial"/>
                <w:b/>
                <w:sz w:val="22"/>
                <w:szCs w:val="22"/>
              </w:rPr>
              <w:t>Median gender pay gap in hourly pay</w:t>
            </w:r>
          </w:p>
        </w:tc>
        <w:tc>
          <w:tcPr>
            <w:tcW w:w="1452" w:type="dxa"/>
          </w:tcPr>
          <w:p w14:paraId="07ACFF7E" w14:textId="77777777" w:rsidR="00CB61A9" w:rsidRPr="001B401D" w:rsidRDefault="00CB61A9" w:rsidP="001B401D">
            <w:pPr>
              <w:tabs>
                <w:tab w:val="num" w:pos="1440"/>
              </w:tabs>
              <w:jc w:val="left"/>
              <w:rPr>
                <w:rFonts w:cs="Arial"/>
                <w:sz w:val="22"/>
                <w:szCs w:val="22"/>
              </w:rPr>
            </w:pPr>
            <w:r w:rsidRPr="001B401D">
              <w:rPr>
                <w:rFonts w:cs="Arial"/>
                <w:sz w:val="22"/>
                <w:szCs w:val="22"/>
              </w:rPr>
              <w:t>0% lower</w:t>
            </w:r>
          </w:p>
        </w:tc>
        <w:tc>
          <w:tcPr>
            <w:tcW w:w="1453" w:type="dxa"/>
          </w:tcPr>
          <w:p w14:paraId="12D23328" w14:textId="77777777" w:rsidR="00CB61A9" w:rsidRPr="001B401D" w:rsidRDefault="00CB61A9" w:rsidP="001B401D">
            <w:pPr>
              <w:rPr>
                <w:rFonts w:cs="Arial"/>
                <w:sz w:val="22"/>
                <w:szCs w:val="22"/>
              </w:rPr>
            </w:pPr>
            <w:r w:rsidRPr="001B401D">
              <w:rPr>
                <w:rFonts w:cs="Arial"/>
                <w:sz w:val="22"/>
                <w:szCs w:val="22"/>
              </w:rPr>
              <w:t>6.29% lower</w:t>
            </w:r>
          </w:p>
        </w:tc>
        <w:tc>
          <w:tcPr>
            <w:tcW w:w="1453" w:type="dxa"/>
          </w:tcPr>
          <w:p w14:paraId="250149B8" w14:textId="77777777" w:rsidR="00CB61A9" w:rsidRPr="001B401D" w:rsidRDefault="00CB61A9" w:rsidP="001B401D">
            <w:pPr>
              <w:tabs>
                <w:tab w:val="num" w:pos="1440"/>
              </w:tabs>
              <w:jc w:val="left"/>
              <w:rPr>
                <w:rFonts w:cs="Arial"/>
                <w:sz w:val="22"/>
                <w:szCs w:val="22"/>
              </w:rPr>
            </w:pPr>
            <w:r w:rsidRPr="001B401D">
              <w:rPr>
                <w:rFonts w:cs="Arial"/>
                <w:sz w:val="22"/>
                <w:szCs w:val="22"/>
              </w:rPr>
              <w:t>1.9% lower</w:t>
            </w:r>
          </w:p>
        </w:tc>
        <w:tc>
          <w:tcPr>
            <w:tcW w:w="1453" w:type="dxa"/>
          </w:tcPr>
          <w:p w14:paraId="565FBA4A" w14:textId="5A985398" w:rsidR="00CB61A9" w:rsidRPr="001B401D" w:rsidRDefault="00CB61A9" w:rsidP="001B401D">
            <w:pPr>
              <w:tabs>
                <w:tab w:val="num" w:pos="1440"/>
              </w:tabs>
              <w:jc w:val="left"/>
              <w:rPr>
                <w:rFonts w:cs="Arial"/>
                <w:sz w:val="22"/>
                <w:szCs w:val="22"/>
              </w:rPr>
            </w:pPr>
            <w:r w:rsidRPr="001B401D">
              <w:rPr>
                <w:rFonts w:cs="Arial"/>
                <w:sz w:val="22"/>
                <w:szCs w:val="22"/>
              </w:rPr>
              <w:t>0.93% lower</w:t>
            </w:r>
          </w:p>
        </w:tc>
        <w:tc>
          <w:tcPr>
            <w:tcW w:w="1453" w:type="dxa"/>
          </w:tcPr>
          <w:p w14:paraId="45D8C688" w14:textId="15734DCC" w:rsidR="00CB61A9" w:rsidRPr="001B401D" w:rsidRDefault="00CB61A9" w:rsidP="001B401D">
            <w:pPr>
              <w:tabs>
                <w:tab w:val="num" w:pos="1440"/>
              </w:tabs>
              <w:jc w:val="left"/>
              <w:rPr>
                <w:rFonts w:cs="Arial"/>
                <w:sz w:val="22"/>
                <w:szCs w:val="22"/>
              </w:rPr>
            </w:pPr>
            <w:r w:rsidRPr="001B401D">
              <w:rPr>
                <w:rFonts w:cs="Arial"/>
                <w:sz w:val="22"/>
                <w:szCs w:val="22"/>
              </w:rPr>
              <w:t>0% lower</w:t>
            </w:r>
          </w:p>
        </w:tc>
        <w:tc>
          <w:tcPr>
            <w:tcW w:w="1276" w:type="dxa"/>
          </w:tcPr>
          <w:p w14:paraId="77448F99" w14:textId="5DF8BC0A" w:rsidR="00CB61A9" w:rsidRPr="001B401D" w:rsidRDefault="00CB61A9" w:rsidP="001B401D">
            <w:pPr>
              <w:tabs>
                <w:tab w:val="num" w:pos="1440"/>
              </w:tabs>
              <w:jc w:val="left"/>
              <w:rPr>
                <w:rFonts w:cs="Arial"/>
                <w:sz w:val="22"/>
                <w:szCs w:val="22"/>
              </w:rPr>
            </w:pPr>
            <w:r w:rsidRPr="001B401D">
              <w:rPr>
                <w:rFonts w:cs="Arial"/>
                <w:sz w:val="22"/>
                <w:szCs w:val="22"/>
              </w:rPr>
              <w:t>0% lower</w:t>
            </w:r>
          </w:p>
        </w:tc>
        <w:tc>
          <w:tcPr>
            <w:tcW w:w="1134" w:type="dxa"/>
          </w:tcPr>
          <w:p w14:paraId="3D75D68F" w14:textId="6EFC6001" w:rsidR="00CB61A9" w:rsidRPr="001B401D" w:rsidRDefault="00CB61A9" w:rsidP="001B401D">
            <w:pPr>
              <w:tabs>
                <w:tab w:val="num" w:pos="1440"/>
              </w:tabs>
              <w:jc w:val="left"/>
              <w:rPr>
                <w:rFonts w:cs="Arial"/>
                <w:sz w:val="22"/>
                <w:szCs w:val="22"/>
              </w:rPr>
            </w:pPr>
            <w:r w:rsidRPr="001B401D">
              <w:rPr>
                <w:rFonts w:cs="Arial"/>
                <w:sz w:val="22"/>
                <w:szCs w:val="22"/>
              </w:rPr>
              <w:t>0</w:t>
            </w:r>
          </w:p>
        </w:tc>
      </w:tr>
      <w:tr w:rsidR="00CB61A9" w:rsidRPr="001B401D" w14:paraId="7CBB0D0F" w14:textId="77777777" w:rsidTr="001B401D">
        <w:tc>
          <w:tcPr>
            <w:tcW w:w="1666" w:type="dxa"/>
            <w:shd w:val="clear" w:color="auto" w:fill="D9D9D9"/>
          </w:tcPr>
          <w:p w14:paraId="77DCC5DA" w14:textId="77777777" w:rsidR="00CB61A9" w:rsidRPr="001B401D" w:rsidRDefault="00CB61A9" w:rsidP="001B401D">
            <w:pPr>
              <w:tabs>
                <w:tab w:val="num" w:pos="1440"/>
              </w:tabs>
              <w:jc w:val="left"/>
              <w:rPr>
                <w:rFonts w:cs="Arial"/>
                <w:b/>
                <w:sz w:val="22"/>
                <w:szCs w:val="22"/>
              </w:rPr>
            </w:pPr>
            <w:r w:rsidRPr="001B401D">
              <w:rPr>
                <w:rFonts w:cs="Arial"/>
                <w:b/>
                <w:sz w:val="22"/>
                <w:szCs w:val="22"/>
              </w:rPr>
              <w:t>Difference in mean bonus payments</w:t>
            </w:r>
          </w:p>
        </w:tc>
        <w:tc>
          <w:tcPr>
            <w:tcW w:w="1452" w:type="dxa"/>
          </w:tcPr>
          <w:p w14:paraId="6B9F42B0" w14:textId="77777777" w:rsidR="00CB61A9" w:rsidRPr="001B401D" w:rsidRDefault="00CB61A9" w:rsidP="001B401D">
            <w:pPr>
              <w:rPr>
                <w:rFonts w:cs="Arial"/>
                <w:sz w:val="22"/>
                <w:szCs w:val="22"/>
              </w:rPr>
            </w:pPr>
            <w:r w:rsidRPr="001B401D">
              <w:rPr>
                <w:rFonts w:cs="Arial"/>
                <w:sz w:val="22"/>
                <w:szCs w:val="22"/>
              </w:rPr>
              <w:t>0</w:t>
            </w:r>
          </w:p>
        </w:tc>
        <w:tc>
          <w:tcPr>
            <w:tcW w:w="1453" w:type="dxa"/>
          </w:tcPr>
          <w:p w14:paraId="57CE5BF0" w14:textId="77777777" w:rsidR="00CB61A9" w:rsidRPr="001B401D" w:rsidRDefault="00CB61A9" w:rsidP="001B401D">
            <w:pPr>
              <w:rPr>
                <w:rFonts w:cs="Arial"/>
                <w:sz w:val="22"/>
                <w:szCs w:val="22"/>
              </w:rPr>
            </w:pPr>
            <w:r w:rsidRPr="001B401D">
              <w:rPr>
                <w:rFonts w:cs="Arial"/>
                <w:sz w:val="22"/>
                <w:szCs w:val="22"/>
              </w:rPr>
              <w:t>0</w:t>
            </w:r>
          </w:p>
        </w:tc>
        <w:tc>
          <w:tcPr>
            <w:tcW w:w="1453" w:type="dxa"/>
          </w:tcPr>
          <w:p w14:paraId="22A9E5B9" w14:textId="77777777" w:rsidR="00CB61A9" w:rsidRPr="001B401D" w:rsidRDefault="00CB61A9" w:rsidP="001B401D">
            <w:pPr>
              <w:tabs>
                <w:tab w:val="num" w:pos="1440"/>
              </w:tabs>
              <w:jc w:val="left"/>
              <w:rPr>
                <w:rFonts w:cs="Arial"/>
                <w:sz w:val="22"/>
                <w:szCs w:val="22"/>
              </w:rPr>
            </w:pPr>
            <w:r w:rsidRPr="001B401D">
              <w:rPr>
                <w:rFonts w:cs="Arial"/>
                <w:sz w:val="22"/>
                <w:szCs w:val="22"/>
              </w:rPr>
              <w:t>0</w:t>
            </w:r>
          </w:p>
        </w:tc>
        <w:tc>
          <w:tcPr>
            <w:tcW w:w="1453" w:type="dxa"/>
          </w:tcPr>
          <w:p w14:paraId="44A7FCDC" w14:textId="29E32911" w:rsidR="00CB61A9" w:rsidRPr="001B401D" w:rsidRDefault="00CB61A9" w:rsidP="001B401D">
            <w:pPr>
              <w:tabs>
                <w:tab w:val="num" w:pos="1440"/>
              </w:tabs>
              <w:jc w:val="left"/>
              <w:rPr>
                <w:rFonts w:cs="Arial"/>
                <w:sz w:val="22"/>
                <w:szCs w:val="22"/>
              </w:rPr>
            </w:pPr>
            <w:r w:rsidRPr="001B401D">
              <w:rPr>
                <w:rFonts w:cs="Arial"/>
                <w:sz w:val="22"/>
                <w:szCs w:val="22"/>
              </w:rPr>
              <w:t>0</w:t>
            </w:r>
          </w:p>
        </w:tc>
        <w:tc>
          <w:tcPr>
            <w:tcW w:w="1453" w:type="dxa"/>
          </w:tcPr>
          <w:p w14:paraId="7ECDD8C1" w14:textId="037C4B07" w:rsidR="00CB61A9" w:rsidRPr="001B401D" w:rsidRDefault="00CB61A9" w:rsidP="001B401D">
            <w:pPr>
              <w:tabs>
                <w:tab w:val="num" w:pos="1440"/>
              </w:tabs>
              <w:jc w:val="left"/>
              <w:rPr>
                <w:rFonts w:cs="Arial"/>
                <w:sz w:val="22"/>
                <w:szCs w:val="22"/>
              </w:rPr>
            </w:pPr>
            <w:r w:rsidRPr="001B401D">
              <w:rPr>
                <w:rFonts w:cs="Arial"/>
                <w:sz w:val="22"/>
                <w:szCs w:val="22"/>
              </w:rPr>
              <w:t>0</w:t>
            </w:r>
          </w:p>
        </w:tc>
        <w:tc>
          <w:tcPr>
            <w:tcW w:w="1276" w:type="dxa"/>
          </w:tcPr>
          <w:p w14:paraId="3E9C9E7A" w14:textId="2A52BA3B" w:rsidR="00CB61A9" w:rsidRPr="001B401D" w:rsidRDefault="00CB61A9" w:rsidP="001B401D">
            <w:pPr>
              <w:tabs>
                <w:tab w:val="num" w:pos="1440"/>
              </w:tabs>
              <w:jc w:val="left"/>
              <w:rPr>
                <w:rFonts w:cs="Arial"/>
                <w:sz w:val="22"/>
                <w:szCs w:val="22"/>
              </w:rPr>
            </w:pPr>
            <w:r w:rsidRPr="001B401D">
              <w:rPr>
                <w:rFonts w:cs="Arial"/>
                <w:sz w:val="22"/>
                <w:szCs w:val="22"/>
              </w:rPr>
              <w:t>0</w:t>
            </w:r>
          </w:p>
        </w:tc>
        <w:tc>
          <w:tcPr>
            <w:tcW w:w="1134" w:type="dxa"/>
          </w:tcPr>
          <w:p w14:paraId="6ADEB462" w14:textId="1C45D8D8" w:rsidR="00CB61A9" w:rsidRPr="001B401D" w:rsidRDefault="00CB61A9" w:rsidP="001B401D">
            <w:pPr>
              <w:tabs>
                <w:tab w:val="num" w:pos="1440"/>
              </w:tabs>
              <w:jc w:val="left"/>
              <w:rPr>
                <w:rFonts w:cs="Arial"/>
                <w:sz w:val="22"/>
                <w:szCs w:val="22"/>
              </w:rPr>
            </w:pPr>
          </w:p>
        </w:tc>
      </w:tr>
      <w:tr w:rsidR="00CB61A9" w:rsidRPr="001B401D" w14:paraId="55F0E3BC" w14:textId="77777777" w:rsidTr="001B401D">
        <w:tc>
          <w:tcPr>
            <w:tcW w:w="1666" w:type="dxa"/>
            <w:shd w:val="clear" w:color="auto" w:fill="D9D9D9"/>
          </w:tcPr>
          <w:p w14:paraId="2EF0E339" w14:textId="77777777" w:rsidR="00CB61A9" w:rsidRPr="001B401D" w:rsidRDefault="00CB61A9" w:rsidP="001B401D">
            <w:pPr>
              <w:tabs>
                <w:tab w:val="num" w:pos="1440"/>
              </w:tabs>
              <w:jc w:val="left"/>
              <w:rPr>
                <w:rFonts w:cs="Arial"/>
                <w:b/>
                <w:sz w:val="22"/>
                <w:szCs w:val="22"/>
              </w:rPr>
            </w:pPr>
            <w:r w:rsidRPr="001B401D">
              <w:rPr>
                <w:rFonts w:cs="Arial"/>
                <w:b/>
                <w:sz w:val="22"/>
                <w:szCs w:val="22"/>
              </w:rPr>
              <w:t>Difference in median bonus payments</w:t>
            </w:r>
          </w:p>
        </w:tc>
        <w:tc>
          <w:tcPr>
            <w:tcW w:w="1452" w:type="dxa"/>
          </w:tcPr>
          <w:p w14:paraId="6A49D566" w14:textId="77777777" w:rsidR="00CB61A9" w:rsidRPr="001B401D" w:rsidRDefault="00CB61A9" w:rsidP="001B401D">
            <w:pPr>
              <w:rPr>
                <w:rFonts w:cs="Arial"/>
                <w:sz w:val="22"/>
                <w:szCs w:val="22"/>
              </w:rPr>
            </w:pPr>
            <w:r w:rsidRPr="001B401D">
              <w:rPr>
                <w:rFonts w:cs="Arial"/>
                <w:sz w:val="22"/>
                <w:szCs w:val="22"/>
              </w:rPr>
              <w:t>0</w:t>
            </w:r>
          </w:p>
        </w:tc>
        <w:tc>
          <w:tcPr>
            <w:tcW w:w="1453" w:type="dxa"/>
          </w:tcPr>
          <w:p w14:paraId="2D8CA623" w14:textId="77777777" w:rsidR="00CB61A9" w:rsidRPr="001B401D" w:rsidRDefault="00CB61A9" w:rsidP="001B401D">
            <w:pPr>
              <w:rPr>
                <w:rFonts w:cs="Arial"/>
                <w:sz w:val="22"/>
                <w:szCs w:val="22"/>
              </w:rPr>
            </w:pPr>
            <w:r w:rsidRPr="001B401D">
              <w:rPr>
                <w:rFonts w:cs="Arial"/>
                <w:sz w:val="22"/>
                <w:szCs w:val="22"/>
              </w:rPr>
              <w:t>0</w:t>
            </w:r>
          </w:p>
        </w:tc>
        <w:tc>
          <w:tcPr>
            <w:tcW w:w="1453" w:type="dxa"/>
          </w:tcPr>
          <w:p w14:paraId="07CE5EC4" w14:textId="77777777" w:rsidR="00CB61A9" w:rsidRPr="001B401D" w:rsidRDefault="00CB61A9" w:rsidP="001B401D">
            <w:pPr>
              <w:tabs>
                <w:tab w:val="num" w:pos="1440"/>
              </w:tabs>
              <w:jc w:val="left"/>
              <w:rPr>
                <w:rFonts w:cs="Arial"/>
                <w:sz w:val="22"/>
                <w:szCs w:val="22"/>
              </w:rPr>
            </w:pPr>
            <w:r w:rsidRPr="001B401D">
              <w:rPr>
                <w:rFonts w:cs="Arial"/>
                <w:sz w:val="22"/>
                <w:szCs w:val="22"/>
              </w:rPr>
              <w:t>0</w:t>
            </w:r>
          </w:p>
        </w:tc>
        <w:tc>
          <w:tcPr>
            <w:tcW w:w="1453" w:type="dxa"/>
          </w:tcPr>
          <w:p w14:paraId="3AA8BDC9" w14:textId="0AAB43C0" w:rsidR="00CB61A9" w:rsidRPr="001B401D" w:rsidRDefault="00CB61A9" w:rsidP="001B401D">
            <w:pPr>
              <w:tabs>
                <w:tab w:val="num" w:pos="1440"/>
              </w:tabs>
              <w:jc w:val="left"/>
              <w:rPr>
                <w:rFonts w:cs="Arial"/>
                <w:sz w:val="22"/>
                <w:szCs w:val="22"/>
              </w:rPr>
            </w:pPr>
            <w:r w:rsidRPr="001B401D">
              <w:rPr>
                <w:rFonts w:cs="Arial"/>
                <w:sz w:val="22"/>
                <w:szCs w:val="22"/>
              </w:rPr>
              <w:t>0</w:t>
            </w:r>
          </w:p>
        </w:tc>
        <w:tc>
          <w:tcPr>
            <w:tcW w:w="1453" w:type="dxa"/>
          </w:tcPr>
          <w:p w14:paraId="640796DC" w14:textId="5256FCB2" w:rsidR="00CB61A9" w:rsidRPr="001B401D" w:rsidRDefault="00CB61A9" w:rsidP="001B401D">
            <w:pPr>
              <w:tabs>
                <w:tab w:val="num" w:pos="1440"/>
              </w:tabs>
              <w:jc w:val="left"/>
              <w:rPr>
                <w:rFonts w:cs="Arial"/>
                <w:sz w:val="22"/>
                <w:szCs w:val="22"/>
              </w:rPr>
            </w:pPr>
            <w:r w:rsidRPr="001B401D">
              <w:rPr>
                <w:rFonts w:cs="Arial"/>
                <w:sz w:val="22"/>
                <w:szCs w:val="22"/>
              </w:rPr>
              <w:t>0</w:t>
            </w:r>
          </w:p>
        </w:tc>
        <w:tc>
          <w:tcPr>
            <w:tcW w:w="1276" w:type="dxa"/>
          </w:tcPr>
          <w:p w14:paraId="3D7FDBEC" w14:textId="42BF20CE" w:rsidR="00CB61A9" w:rsidRPr="001B401D" w:rsidRDefault="00CB61A9" w:rsidP="001B401D">
            <w:pPr>
              <w:tabs>
                <w:tab w:val="num" w:pos="1440"/>
              </w:tabs>
              <w:jc w:val="left"/>
              <w:rPr>
                <w:rFonts w:cs="Arial"/>
                <w:sz w:val="22"/>
                <w:szCs w:val="22"/>
              </w:rPr>
            </w:pPr>
            <w:r w:rsidRPr="001B401D">
              <w:rPr>
                <w:rFonts w:cs="Arial"/>
                <w:sz w:val="22"/>
                <w:szCs w:val="22"/>
              </w:rPr>
              <w:t>0</w:t>
            </w:r>
          </w:p>
        </w:tc>
        <w:tc>
          <w:tcPr>
            <w:tcW w:w="1134" w:type="dxa"/>
          </w:tcPr>
          <w:p w14:paraId="131634B6" w14:textId="19787727" w:rsidR="00CB61A9" w:rsidRPr="001B401D" w:rsidRDefault="00CB61A9" w:rsidP="001B401D">
            <w:pPr>
              <w:tabs>
                <w:tab w:val="num" w:pos="1440"/>
              </w:tabs>
              <w:jc w:val="left"/>
              <w:rPr>
                <w:rFonts w:cs="Arial"/>
                <w:sz w:val="22"/>
                <w:szCs w:val="22"/>
              </w:rPr>
            </w:pPr>
          </w:p>
        </w:tc>
      </w:tr>
    </w:tbl>
    <w:p w14:paraId="41DDB423" w14:textId="77777777" w:rsidR="001B401D" w:rsidRPr="001B401D" w:rsidRDefault="001B401D" w:rsidP="001B401D">
      <w:pPr>
        <w:ind w:left="720"/>
        <w:rPr>
          <w:rFonts w:cs="Arial"/>
          <w:b/>
          <w:bCs/>
          <w:sz w:val="24"/>
          <w:szCs w:val="24"/>
        </w:rPr>
      </w:pPr>
    </w:p>
    <w:p w14:paraId="6ACDBB3C" w14:textId="77777777" w:rsidR="00590F21" w:rsidRPr="008872EF" w:rsidRDefault="00590F21" w:rsidP="001B401D">
      <w:pPr>
        <w:ind w:left="720"/>
        <w:rPr>
          <w:rFonts w:cs="Arial"/>
          <w:sz w:val="24"/>
          <w:szCs w:val="24"/>
        </w:rPr>
      </w:pPr>
    </w:p>
    <w:p w14:paraId="3A48F9B5" w14:textId="77777777" w:rsidR="00DF3926" w:rsidRDefault="00DF3926" w:rsidP="001B401D">
      <w:pPr>
        <w:ind w:firstLine="720"/>
        <w:rPr>
          <w:rFonts w:cs="Arial"/>
          <w:b/>
          <w:bCs/>
          <w:sz w:val="24"/>
          <w:szCs w:val="24"/>
        </w:rPr>
      </w:pPr>
    </w:p>
    <w:p w14:paraId="53605C23" w14:textId="77777777" w:rsidR="00DF3926" w:rsidRDefault="00DF3926" w:rsidP="001B401D">
      <w:pPr>
        <w:ind w:firstLine="720"/>
        <w:rPr>
          <w:rFonts w:cs="Arial"/>
          <w:b/>
          <w:bCs/>
          <w:sz w:val="24"/>
          <w:szCs w:val="24"/>
        </w:rPr>
      </w:pPr>
    </w:p>
    <w:p w14:paraId="613791F8" w14:textId="77777777" w:rsidR="00DF3926" w:rsidRDefault="00DF3926" w:rsidP="001B401D">
      <w:pPr>
        <w:ind w:firstLine="720"/>
        <w:rPr>
          <w:rFonts w:cs="Arial"/>
          <w:b/>
          <w:bCs/>
          <w:sz w:val="24"/>
          <w:szCs w:val="24"/>
        </w:rPr>
      </w:pPr>
    </w:p>
    <w:p w14:paraId="7455DD28" w14:textId="77777777" w:rsidR="00DF3926" w:rsidRDefault="00DF3926" w:rsidP="001B401D">
      <w:pPr>
        <w:ind w:firstLine="720"/>
        <w:rPr>
          <w:rFonts w:cs="Arial"/>
          <w:b/>
          <w:bCs/>
          <w:sz w:val="24"/>
          <w:szCs w:val="24"/>
        </w:rPr>
      </w:pPr>
    </w:p>
    <w:p w14:paraId="5D1B19DF" w14:textId="77777777" w:rsidR="00DF3926" w:rsidRDefault="00DF3926" w:rsidP="001B401D">
      <w:pPr>
        <w:ind w:firstLine="720"/>
        <w:rPr>
          <w:rFonts w:cs="Arial"/>
          <w:b/>
          <w:bCs/>
          <w:sz w:val="24"/>
          <w:szCs w:val="24"/>
        </w:rPr>
      </w:pPr>
    </w:p>
    <w:p w14:paraId="20B2399D" w14:textId="77777777" w:rsidR="00DF3926" w:rsidRDefault="00DF3926" w:rsidP="001B401D">
      <w:pPr>
        <w:ind w:firstLine="720"/>
        <w:rPr>
          <w:rFonts w:cs="Arial"/>
          <w:b/>
          <w:bCs/>
          <w:sz w:val="24"/>
          <w:szCs w:val="24"/>
        </w:rPr>
      </w:pPr>
    </w:p>
    <w:p w14:paraId="11A65C0D" w14:textId="73BC7A71" w:rsidR="000333D5" w:rsidRPr="008872EF" w:rsidRDefault="000333D5" w:rsidP="001B401D">
      <w:pPr>
        <w:ind w:firstLine="720"/>
        <w:rPr>
          <w:rFonts w:cs="Arial"/>
          <w:sz w:val="24"/>
          <w:szCs w:val="24"/>
        </w:rPr>
      </w:pPr>
      <w:r w:rsidRPr="001B401D">
        <w:rPr>
          <w:rFonts w:cs="Arial"/>
          <w:b/>
          <w:bCs/>
          <w:noProof/>
          <w:sz w:val="24"/>
          <w:szCs w:val="24"/>
          <w:lang w:eastAsia="en-GB"/>
        </w:rPr>
        <w:lastRenderedPageBreak/>
        <mc:AlternateContent>
          <mc:Choice Requires="wps">
            <w:drawing>
              <wp:anchor distT="0" distB="0" distL="114300" distR="114300" simplePos="0" relativeHeight="251657216" behindDoc="0" locked="0" layoutInCell="1" allowOverlap="1" wp14:anchorId="67C1B46D" wp14:editId="3DDC91B7">
                <wp:simplePos x="0" y="0"/>
                <wp:positionH relativeFrom="column">
                  <wp:posOffset>4870450</wp:posOffset>
                </wp:positionH>
                <wp:positionV relativeFrom="paragraph">
                  <wp:posOffset>8255</wp:posOffset>
                </wp:positionV>
                <wp:extent cx="247650" cy="161925"/>
                <wp:effectExtent l="0" t="0" r="19050"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B063DC4"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B46D" id="_x0000_t202" coordsize="21600,21600" o:spt="202" path="m,l,21600r21600,l21600,xe">
                <v:stroke joinstyle="miter"/>
                <v:path gradientshapeok="t" o:connecttype="rect"/>
              </v:shapetype>
              <v:shape id="Text Box 4" o:spid="_x0000_s1026" type="#_x0000_t202" style="position:absolute;left:0;text-align:left;margin-left:383.5pt;margin-top:.65pt;width:19.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" fillcolor="#4f81bd" stroked="f" strokecolor="#f2f2f2" strokeweight="3pt">
                <v:shadow on="t" color="#243f60" opacity=".5" offset="1pt"/>
                <v:textbox>
                  <w:txbxContent>
                    <w:p w14:paraId="6B063DC4" w14:textId="77777777" w:rsidR="000333D5" w:rsidRDefault="000333D5" w:rsidP="000333D5"/>
                  </w:txbxContent>
                </v:textbox>
              </v:shape>
            </w:pict>
          </mc:Fallback>
        </mc:AlternateContent>
      </w:r>
      <w:r w:rsidRPr="001B401D">
        <w:rPr>
          <w:rFonts w:cs="Arial"/>
          <w:b/>
          <w:bCs/>
          <w:noProof/>
          <w:sz w:val="24"/>
          <w:szCs w:val="24"/>
          <w:lang w:eastAsia="en-GB"/>
        </w:rPr>
        <mc:AlternateContent>
          <mc:Choice Requires="wps">
            <w:drawing>
              <wp:anchor distT="0" distB="0" distL="114300" distR="114300" simplePos="0" relativeHeight="251659264" behindDoc="0" locked="0" layoutInCell="1" allowOverlap="1" wp14:anchorId="143241BC" wp14:editId="67108204">
                <wp:simplePos x="0" y="0"/>
                <wp:positionH relativeFrom="column">
                  <wp:posOffset>5727700</wp:posOffset>
                </wp:positionH>
                <wp:positionV relativeFrom="paragraph">
                  <wp:posOffset>20955</wp:posOffset>
                </wp:positionV>
                <wp:extent cx="247650" cy="161925"/>
                <wp:effectExtent l="0" t="0" r="1905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61925"/>
                        </a:xfrm>
                        <a:prstGeom prst="rect">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56ADEEA" w14:textId="77777777" w:rsidR="000333D5" w:rsidRDefault="000333D5" w:rsidP="00033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41BC" id="Text Box 3" o:spid="_x0000_s1027" type="#_x0000_t202" style="position:absolute;left:0;text-align:left;margin-left:451pt;margin-top:1.65pt;width:19.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" fillcolor="#c0504d" stroked="f" strokecolor="#f2f2f2" strokeweight="3pt">
                <v:shadow on="t" color="#622423" opacity=".5" offset="1pt"/>
                <v:textbox>
                  <w:txbxContent>
                    <w:p w14:paraId="656ADEEA" w14:textId="77777777" w:rsidR="000333D5" w:rsidRDefault="000333D5" w:rsidP="000333D5"/>
                  </w:txbxContent>
                </v:textbox>
              </v:shape>
            </w:pict>
          </mc:Fallback>
        </mc:AlternateContent>
      </w:r>
      <w:r w:rsidRPr="001B401D">
        <w:rPr>
          <w:rFonts w:cs="Arial"/>
          <w:b/>
          <w:bCs/>
          <w:sz w:val="24"/>
          <w:szCs w:val="24"/>
        </w:rPr>
        <w:t>Proportion of men and wom</w:t>
      </w:r>
      <w:r w:rsidR="006E62A8" w:rsidRPr="001B401D">
        <w:rPr>
          <w:rFonts w:cs="Arial"/>
          <w:b/>
          <w:bCs/>
          <w:sz w:val="24"/>
          <w:szCs w:val="24"/>
        </w:rPr>
        <w:t>e</w:t>
      </w:r>
      <w:r w:rsidRPr="001B401D">
        <w:rPr>
          <w:rFonts w:cs="Arial"/>
          <w:b/>
          <w:bCs/>
          <w:sz w:val="24"/>
          <w:szCs w:val="24"/>
        </w:rPr>
        <w:t>n in each pay quartile (%)</w:t>
      </w:r>
      <w:r w:rsidRPr="008872EF">
        <w:rPr>
          <w:rFonts w:cs="Arial"/>
          <w:sz w:val="24"/>
          <w:szCs w:val="24"/>
        </w:rPr>
        <w:t xml:space="preserve"> - Men  </w:t>
      </w:r>
      <w:r w:rsidRPr="008872EF">
        <w:rPr>
          <w:rFonts w:cs="Arial"/>
          <w:sz w:val="24"/>
          <w:szCs w:val="24"/>
        </w:rPr>
        <w:tab/>
        <w:t xml:space="preserve">  </w:t>
      </w:r>
      <w:r w:rsidR="001B401D">
        <w:rPr>
          <w:rFonts w:cs="Arial"/>
          <w:sz w:val="24"/>
          <w:szCs w:val="24"/>
        </w:rPr>
        <w:t xml:space="preserve">  </w:t>
      </w:r>
      <w:r w:rsidRPr="008872EF">
        <w:rPr>
          <w:rFonts w:cs="Arial"/>
          <w:sz w:val="24"/>
          <w:szCs w:val="24"/>
        </w:rPr>
        <w:t xml:space="preserve">Women </w:t>
      </w:r>
    </w:p>
    <w:p w14:paraId="3626290D" w14:textId="77777777" w:rsidR="000333D5" w:rsidRPr="008872EF" w:rsidRDefault="000333D5" w:rsidP="001B401D">
      <w:pPr>
        <w:tabs>
          <w:tab w:val="num" w:pos="1440"/>
        </w:tabs>
        <w:ind w:left="1440" w:hanging="1298"/>
        <w:jc w:val="left"/>
        <w:rPr>
          <w:rFonts w:eastAsia="Times New Roman" w:cs="Arial"/>
          <w:sz w:val="24"/>
          <w:szCs w:val="24"/>
          <w:lang w:eastAsia="en-GB"/>
        </w:rPr>
      </w:pPr>
      <w:r w:rsidRPr="008872EF">
        <w:rPr>
          <w:rFonts w:cs="Arial"/>
          <w:sz w:val="24"/>
          <w:szCs w:val="24"/>
        </w:rPr>
        <w:fldChar w:fldCharType="begin"/>
      </w:r>
      <w:r w:rsidRPr="008872EF">
        <w:rPr>
          <w:rFonts w:cs="Arial"/>
          <w:sz w:val="24"/>
          <w:szCs w:val="24"/>
        </w:rPr>
        <w:instrText xml:space="preserve"> LINK </w:instrText>
      </w:r>
      <w:r w:rsidR="0096363C" w:rsidRPr="008872EF">
        <w:rPr>
          <w:rFonts w:cs="Arial"/>
          <w:sz w:val="24"/>
          <w:szCs w:val="24"/>
        </w:rPr>
        <w:instrText xml:space="preserve">Excel.Sheet.12 "\\\\stc.local\\legacy\\nas5\\ES and D\\Human Resources\\PAY AND CONDITIONS\\Gender Pay Gap Reporting\\Data\\South Tyneside Council\\Working sheet for graphs.xlsx" Sheet1!R6C6:R16C17 </w:instrText>
      </w:r>
      <w:r w:rsidRPr="008872EF">
        <w:rPr>
          <w:rFonts w:cs="Arial"/>
          <w:sz w:val="24"/>
          <w:szCs w:val="24"/>
        </w:rPr>
        <w:instrText xml:space="preserve">\a \f 4 \h  \* MERGEFORMAT </w:instrText>
      </w:r>
      <w:r w:rsidRPr="008872EF">
        <w:rPr>
          <w:rFonts w:cs="Arial"/>
          <w:sz w:val="24"/>
          <w:szCs w:val="24"/>
        </w:rPr>
        <w:fldChar w:fldCharType="separate"/>
      </w:r>
    </w:p>
    <w:p w14:paraId="7101B8C1" w14:textId="10507B4A" w:rsidR="000333D5" w:rsidRPr="008872EF" w:rsidRDefault="000333D5" w:rsidP="001B401D">
      <w:pPr>
        <w:pStyle w:val="ListNumber"/>
        <w:numPr>
          <w:ilvl w:val="0"/>
          <w:numId w:val="0"/>
        </w:numPr>
        <w:spacing w:line="240" w:lineRule="auto"/>
        <w:rPr>
          <w:rFonts w:cs="Arial"/>
          <w:szCs w:val="24"/>
        </w:rPr>
      </w:pPr>
      <w:r w:rsidRPr="008872EF">
        <w:rPr>
          <w:rFonts w:cs="Arial"/>
          <w:szCs w:val="24"/>
        </w:rPr>
        <w:fldChar w:fldCharType="end"/>
      </w:r>
      <w:r w:rsidR="00CB61A9" w:rsidRPr="008872EF">
        <w:rPr>
          <w:rFonts w:cs="Arial"/>
          <w:noProof/>
        </w:rPr>
        <w:t xml:space="preserve"> </w:t>
      </w:r>
      <w:r w:rsidR="00CB61A9" w:rsidRPr="008872EF">
        <w:rPr>
          <w:rFonts w:cs="Arial"/>
          <w:noProof/>
        </w:rPr>
        <w:drawing>
          <wp:inline distT="0" distB="0" distL="0" distR="0" wp14:anchorId="76330C0E" wp14:editId="67A206E7">
            <wp:extent cx="1800226" cy="1458915"/>
            <wp:effectExtent l="0" t="0" r="0" b="8255"/>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B401D" w:rsidRPr="008872EF">
        <w:rPr>
          <w:rFonts w:cs="Arial"/>
          <w:noProof/>
        </w:rPr>
        <w:drawing>
          <wp:inline distT="0" distB="0" distL="0" distR="0" wp14:anchorId="23364DCB" wp14:editId="75532F99">
            <wp:extent cx="1790700" cy="1436687"/>
            <wp:effectExtent l="0" t="0" r="0" b="0"/>
            <wp:docPr id="2" name="Chart 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B401D" w:rsidRPr="008872EF">
        <w:rPr>
          <w:rFonts w:cs="Arial"/>
          <w:noProof/>
        </w:rPr>
        <w:drawing>
          <wp:inline distT="0" distB="0" distL="0" distR="0" wp14:anchorId="0FA89E49" wp14:editId="52CD0067">
            <wp:extent cx="1781175" cy="1436688"/>
            <wp:effectExtent l="0" t="0" r="0" b="0"/>
            <wp:docPr id="5" name="Chart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B401D" w:rsidRPr="001B401D">
        <w:rPr>
          <w:rFonts w:cs="Arial"/>
          <w:noProof/>
        </w:rPr>
        <w:t xml:space="preserve"> </w:t>
      </w:r>
      <w:r w:rsidR="001B401D" w:rsidRPr="008872EF">
        <w:rPr>
          <w:rFonts w:cs="Arial"/>
          <w:noProof/>
        </w:rPr>
        <w:drawing>
          <wp:inline distT="0" distB="0" distL="0" distR="0" wp14:anchorId="775BE523" wp14:editId="1B727072">
            <wp:extent cx="1771650" cy="1420813"/>
            <wp:effectExtent l="0" t="0" r="0" b="8255"/>
            <wp:docPr id="6" name="Chart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26EF88" w14:textId="37DA146E" w:rsidR="0077414E" w:rsidRPr="008872EF" w:rsidRDefault="0077414E" w:rsidP="001B401D">
      <w:pPr>
        <w:pStyle w:val="ListNumber"/>
        <w:numPr>
          <w:ilvl w:val="0"/>
          <w:numId w:val="0"/>
        </w:numPr>
        <w:spacing w:line="240" w:lineRule="auto"/>
        <w:ind w:left="720"/>
        <w:rPr>
          <w:rFonts w:cs="Arial"/>
          <w:szCs w:val="24"/>
        </w:rPr>
      </w:pPr>
    </w:p>
    <w:p w14:paraId="444E8259" w14:textId="23C1CB14" w:rsidR="00D66931" w:rsidRPr="008872EF" w:rsidRDefault="00D66931" w:rsidP="001B401D">
      <w:pPr>
        <w:pStyle w:val="ListNumber"/>
        <w:numPr>
          <w:ilvl w:val="0"/>
          <w:numId w:val="0"/>
        </w:numPr>
        <w:spacing w:line="240" w:lineRule="auto"/>
        <w:ind w:left="720"/>
        <w:rPr>
          <w:rFonts w:cs="Arial"/>
          <w:szCs w:val="24"/>
        </w:rPr>
      </w:pPr>
    </w:p>
    <w:p w14:paraId="121804A0" w14:textId="2656956E" w:rsidR="0084291D" w:rsidRPr="008872EF" w:rsidRDefault="001A0C52" w:rsidP="001B401D">
      <w:pPr>
        <w:pStyle w:val="ListNumber"/>
        <w:numPr>
          <w:ilvl w:val="0"/>
          <w:numId w:val="0"/>
        </w:numPr>
        <w:spacing w:line="240" w:lineRule="auto"/>
        <w:ind w:left="720" w:right="709"/>
        <w:rPr>
          <w:rFonts w:cs="Arial"/>
          <w:szCs w:val="24"/>
        </w:rPr>
      </w:pPr>
      <w:r w:rsidRPr="008872EF">
        <w:rPr>
          <w:rFonts w:cs="Arial"/>
          <w:szCs w:val="24"/>
        </w:rPr>
        <w:t xml:space="preserve">Female employees are </w:t>
      </w:r>
      <w:r w:rsidR="005F2745">
        <w:rPr>
          <w:rFonts w:cs="Arial"/>
          <w:szCs w:val="24"/>
        </w:rPr>
        <w:t xml:space="preserve">slightly </w:t>
      </w:r>
      <w:r w:rsidRPr="008872EF">
        <w:rPr>
          <w:rFonts w:cs="Arial"/>
          <w:szCs w:val="24"/>
        </w:rPr>
        <w:t>over-represented in the</w:t>
      </w:r>
      <w:r w:rsidR="0084291D" w:rsidRPr="008872EF">
        <w:rPr>
          <w:rFonts w:cs="Arial"/>
          <w:szCs w:val="24"/>
        </w:rPr>
        <w:t xml:space="preserve"> Lower Middle </w:t>
      </w:r>
      <w:r w:rsidR="00723DB2" w:rsidRPr="008872EF">
        <w:rPr>
          <w:rFonts w:cs="Arial"/>
          <w:szCs w:val="24"/>
        </w:rPr>
        <w:t xml:space="preserve">and Upper Middle </w:t>
      </w:r>
      <w:r w:rsidR="005F2745">
        <w:rPr>
          <w:rFonts w:cs="Arial"/>
          <w:szCs w:val="24"/>
        </w:rPr>
        <w:t xml:space="preserve">quartile </w:t>
      </w:r>
      <w:r w:rsidR="0084291D" w:rsidRPr="008872EF">
        <w:rPr>
          <w:rFonts w:cs="Arial"/>
          <w:szCs w:val="24"/>
        </w:rPr>
        <w:t xml:space="preserve">pie charts </w:t>
      </w:r>
      <w:r w:rsidRPr="008872EF">
        <w:rPr>
          <w:rFonts w:cs="Arial"/>
          <w:szCs w:val="24"/>
        </w:rPr>
        <w:t xml:space="preserve">and </w:t>
      </w:r>
      <w:r w:rsidR="001E6670" w:rsidRPr="008872EF">
        <w:rPr>
          <w:rFonts w:cs="Arial"/>
          <w:szCs w:val="24"/>
        </w:rPr>
        <w:t>underrepresented</w:t>
      </w:r>
      <w:r w:rsidRPr="008872EF">
        <w:rPr>
          <w:rFonts w:cs="Arial"/>
          <w:szCs w:val="24"/>
        </w:rPr>
        <w:t xml:space="preserve"> in the </w:t>
      </w:r>
      <w:r w:rsidR="00723DB2" w:rsidRPr="008872EF">
        <w:rPr>
          <w:rFonts w:cs="Arial"/>
          <w:szCs w:val="24"/>
        </w:rPr>
        <w:t xml:space="preserve">Upper </w:t>
      </w:r>
      <w:r w:rsidR="005F2745">
        <w:rPr>
          <w:rFonts w:cs="Arial"/>
          <w:szCs w:val="24"/>
        </w:rPr>
        <w:t xml:space="preserve">quartile </w:t>
      </w:r>
      <w:r w:rsidR="00723DB2" w:rsidRPr="008872EF">
        <w:rPr>
          <w:rFonts w:cs="Arial"/>
          <w:szCs w:val="24"/>
        </w:rPr>
        <w:t>Pie Chart</w:t>
      </w:r>
      <w:r w:rsidRPr="008872EF">
        <w:rPr>
          <w:rFonts w:cs="Arial"/>
          <w:szCs w:val="24"/>
        </w:rPr>
        <w:t xml:space="preserve">. This </w:t>
      </w:r>
      <w:r w:rsidR="00723DB2" w:rsidRPr="008872EF">
        <w:rPr>
          <w:rFonts w:cs="Arial"/>
          <w:szCs w:val="24"/>
        </w:rPr>
        <w:t xml:space="preserve">shows that </w:t>
      </w:r>
      <w:r w:rsidR="005F2745">
        <w:rPr>
          <w:rFonts w:cs="Arial"/>
          <w:szCs w:val="24"/>
        </w:rPr>
        <w:t>m</w:t>
      </w:r>
      <w:r w:rsidR="00723DB2" w:rsidRPr="008872EF">
        <w:rPr>
          <w:rFonts w:cs="Arial"/>
          <w:szCs w:val="24"/>
        </w:rPr>
        <w:t>ale employees make up the higher percentage in th</w:t>
      </w:r>
      <w:r w:rsidRPr="008872EF">
        <w:rPr>
          <w:rFonts w:cs="Arial"/>
          <w:szCs w:val="24"/>
        </w:rPr>
        <w:t>e upper pay bands</w:t>
      </w:r>
      <w:r w:rsidR="005F2745">
        <w:rPr>
          <w:rFonts w:cs="Arial"/>
          <w:szCs w:val="24"/>
        </w:rPr>
        <w:t>, with 80% of the highest paid staff being male</w:t>
      </w:r>
      <w:r w:rsidRPr="008872EF">
        <w:rPr>
          <w:rFonts w:cs="Arial"/>
          <w:szCs w:val="24"/>
        </w:rPr>
        <w:t xml:space="preserve">. </w:t>
      </w:r>
    </w:p>
    <w:p w14:paraId="579D23F7" w14:textId="77777777" w:rsidR="0084291D" w:rsidRPr="008872EF" w:rsidRDefault="0084291D" w:rsidP="001B401D">
      <w:pPr>
        <w:pStyle w:val="ListNumber"/>
        <w:numPr>
          <w:ilvl w:val="0"/>
          <w:numId w:val="0"/>
        </w:numPr>
        <w:spacing w:line="240" w:lineRule="auto"/>
        <w:ind w:left="720" w:right="709"/>
        <w:rPr>
          <w:rFonts w:cs="Arial"/>
          <w:szCs w:val="24"/>
        </w:rPr>
      </w:pPr>
    </w:p>
    <w:p w14:paraId="6A19A691" w14:textId="3E76335C" w:rsidR="000333D5" w:rsidRPr="008872EF" w:rsidRDefault="000333D5" w:rsidP="001B401D">
      <w:pPr>
        <w:pStyle w:val="ListNumber"/>
        <w:numPr>
          <w:ilvl w:val="0"/>
          <w:numId w:val="0"/>
        </w:numPr>
        <w:spacing w:line="240" w:lineRule="auto"/>
        <w:ind w:left="720" w:right="709"/>
        <w:rPr>
          <w:rFonts w:cs="Arial"/>
          <w:szCs w:val="24"/>
        </w:rPr>
      </w:pPr>
      <w:r w:rsidRPr="008872EF">
        <w:rPr>
          <w:rFonts w:cs="Arial"/>
          <w:szCs w:val="24"/>
        </w:rPr>
        <w:t xml:space="preserve">The </w:t>
      </w:r>
      <w:r w:rsidR="00D17ED7" w:rsidRPr="008872EF">
        <w:rPr>
          <w:rFonts w:cs="Arial"/>
          <w:szCs w:val="24"/>
        </w:rPr>
        <w:t>median hourly rat</w:t>
      </w:r>
      <w:r w:rsidR="00167832" w:rsidRPr="008872EF">
        <w:rPr>
          <w:rFonts w:cs="Arial"/>
          <w:szCs w:val="24"/>
        </w:rPr>
        <w:t xml:space="preserve">e </w:t>
      </w:r>
      <w:r w:rsidR="00D43903" w:rsidRPr="008872EF">
        <w:rPr>
          <w:rFonts w:cs="Arial"/>
          <w:szCs w:val="24"/>
        </w:rPr>
        <w:t xml:space="preserve">for both men and women is </w:t>
      </w:r>
      <w:r w:rsidR="00167832" w:rsidRPr="008872EF">
        <w:rPr>
          <w:rFonts w:cs="Arial"/>
          <w:szCs w:val="24"/>
        </w:rPr>
        <w:t>£</w:t>
      </w:r>
      <w:r w:rsidR="00CB61A9" w:rsidRPr="008872EF">
        <w:rPr>
          <w:rFonts w:cs="Arial"/>
          <w:szCs w:val="24"/>
        </w:rPr>
        <w:t>14.16</w:t>
      </w:r>
      <w:r w:rsidR="00312472" w:rsidRPr="008872EF">
        <w:rPr>
          <w:rFonts w:cs="Arial"/>
          <w:szCs w:val="24"/>
        </w:rPr>
        <w:t xml:space="preserve"> and the </w:t>
      </w:r>
      <w:r w:rsidRPr="008872EF">
        <w:rPr>
          <w:rFonts w:cs="Arial"/>
          <w:szCs w:val="24"/>
        </w:rPr>
        <w:t>average hourly rate per quartile is shown in the table below.</w:t>
      </w:r>
    </w:p>
    <w:p w14:paraId="7517FC96" w14:textId="77777777" w:rsidR="000333D5" w:rsidRPr="008872EF" w:rsidRDefault="000333D5" w:rsidP="001B401D">
      <w:pPr>
        <w:ind w:left="720"/>
        <w:rPr>
          <w:rFonts w:cs="Arial"/>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01"/>
      </w:tblGrid>
      <w:tr w:rsidR="000333D5" w:rsidRPr="008872EF" w14:paraId="272A8E7C" w14:textId="77777777" w:rsidTr="00654D3E">
        <w:tc>
          <w:tcPr>
            <w:tcW w:w="1940" w:type="dxa"/>
            <w:shd w:val="clear" w:color="auto" w:fill="D9D9D9"/>
          </w:tcPr>
          <w:p w14:paraId="3442069F" w14:textId="77777777" w:rsidR="000333D5" w:rsidRPr="008872EF" w:rsidRDefault="000333D5" w:rsidP="001B401D">
            <w:pPr>
              <w:rPr>
                <w:rFonts w:cs="Arial"/>
                <w:b/>
                <w:sz w:val="24"/>
                <w:szCs w:val="24"/>
              </w:rPr>
            </w:pPr>
            <w:r w:rsidRPr="008872EF">
              <w:rPr>
                <w:rFonts w:cs="Arial"/>
                <w:b/>
                <w:sz w:val="24"/>
                <w:szCs w:val="24"/>
              </w:rPr>
              <w:t>Quartile</w:t>
            </w:r>
          </w:p>
        </w:tc>
        <w:tc>
          <w:tcPr>
            <w:tcW w:w="1701" w:type="dxa"/>
            <w:shd w:val="clear" w:color="auto" w:fill="D9D9D9"/>
          </w:tcPr>
          <w:p w14:paraId="6404CC9D" w14:textId="77777777" w:rsidR="000333D5" w:rsidRPr="008872EF" w:rsidRDefault="000333D5" w:rsidP="001B401D">
            <w:pPr>
              <w:rPr>
                <w:rFonts w:cs="Arial"/>
                <w:b/>
                <w:sz w:val="24"/>
                <w:szCs w:val="24"/>
              </w:rPr>
            </w:pPr>
            <w:r w:rsidRPr="008872EF">
              <w:rPr>
                <w:rFonts w:cs="Arial"/>
                <w:b/>
                <w:sz w:val="24"/>
                <w:szCs w:val="24"/>
              </w:rPr>
              <w:t>Hourly rate</w:t>
            </w:r>
          </w:p>
        </w:tc>
      </w:tr>
      <w:tr w:rsidR="000333D5" w:rsidRPr="008872EF" w14:paraId="3F3E4BA0" w14:textId="77777777" w:rsidTr="00654D3E">
        <w:tc>
          <w:tcPr>
            <w:tcW w:w="1940" w:type="dxa"/>
            <w:shd w:val="clear" w:color="auto" w:fill="D9D9D9"/>
          </w:tcPr>
          <w:p w14:paraId="26A8F0A8" w14:textId="77777777" w:rsidR="000333D5" w:rsidRPr="008872EF" w:rsidRDefault="000333D5" w:rsidP="001B401D">
            <w:pPr>
              <w:rPr>
                <w:rFonts w:cs="Arial"/>
                <w:b/>
                <w:bCs/>
                <w:sz w:val="24"/>
                <w:szCs w:val="24"/>
              </w:rPr>
            </w:pPr>
            <w:r w:rsidRPr="008872EF">
              <w:rPr>
                <w:rFonts w:cs="Arial"/>
                <w:b/>
                <w:bCs/>
                <w:sz w:val="24"/>
                <w:szCs w:val="24"/>
              </w:rPr>
              <w:t>Lower</w:t>
            </w:r>
          </w:p>
        </w:tc>
        <w:tc>
          <w:tcPr>
            <w:tcW w:w="1701" w:type="dxa"/>
            <w:shd w:val="clear" w:color="auto" w:fill="auto"/>
          </w:tcPr>
          <w:p w14:paraId="3A252D0E" w14:textId="1DC76EC4" w:rsidR="000333D5" w:rsidRPr="008872EF" w:rsidRDefault="00CB61A9" w:rsidP="001B401D">
            <w:pPr>
              <w:rPr>
                <w:rFonts w:cs="Arial"/>
                <w:sz w:val="24"/>
                <w:szCs w:val="24"/>
              </w:rPr>
            </w:pPr>
            <w:r w:rsidRPr="008872EF">
              <w:rPr>
                <w:rFonts w:cs="Arial"/>
                <w:sz w:val="24"/>
                <w:szCs w:val="24"/>
              </w:rPr>
              <w:t>£10.55</w:t>
            </w:r>
          </w:p>
        </w:tc>
      </w:tr>
      <w:tr w:rsidR="000333D5" w:rsidRPr="008872EF" w14:paraId="60DB9E6B" w14:textId="77777777" w:rsidTr="00654D3E">
        <w:tc>
          <w:tcPr>
            <w:tcW w:w="1940" w:type="dxa"/>
            <w:shd w:val="clear" w:color="auto" w:fill="D9D9D9"/>
          </w:tcPr>
          <w:p w14:paraId="53E81549" w14:textId="77777777" w:rsidR="000333D5" w:rsidRPr="008872EF" w:rsidRDefault="000333D5" w:rsidP="001B401D">
            <w:pPr>
              <w:rPr>
                <w:rFonts w:cs="Arial"/>
                <w:b/>
                <w:sz w:val="24"/>
                <w:szCs w:val="24"/>
              </w:rPr>
            </w:pPr>
            <w:r w:rsidRPr="008872EF">
              <w:rPr>
                <w:rFonts w:cs="Arial"/>
                <w:b/>
                <w:sz w:val="24"/>
                <w:szCs w:val="24"/>
              </w:rPr>
              <w:t>Lower middle</w:t>
            </w:r>
          </w:p>
        </w:tc>
        <w:tc>
          <w:tcPr>
            <w:tcW w:w="1701" w:type="dxa"/>
            <w:shd w:val="clear" w:color="auto" w:fill="auto"/>
          </w:tcPr>
          <w:p w14:paraId="09857B66" w14:textId="23E2BD3B" w:rsidR="000333D5" w:rsidRPr="008872EF" w:rsidRDefault="00CB61A9" w:rsidP="001B401D">
            <w:pPr>
              <w:rPr>
                <w:rFonts w:cs="Arial"/>
                <w:sz w:val="24"/>
                <w:szCs w:val="24"/>
              </w:rPr>
            </w:pPr>
            <w:r w:rsidRPr="008872EF">
              <w:rPr>
                <w:rFonts w:cs="Arial"/>
                <w:sz w:val="24"/>
                <w:szCs w:val="24"/>
              </w:rPr>
              <w:t>£13.47</w:t>
            </w:r>
          </w:p>
        </w:tc>
      </w:tr>
      <w:tr w:rsidR="000333D5" w:rsidRPr="008872EF" w14:paraId="586701C5" w14:textId="77777777" w:rsidTr="00654D3E">
        <w:tc>
          <w:tcPr>
            <w:tcW w:w="1940" w:type="dxa"/>
            <w:shd w:val="clear" w:color="auto" w:fill="D9D9D9"/>
          </w:tcPr>
          <w:p w14:paraId="645948B5" w14:textId="77777777" w:rsidR="000333D5" w:rsidRPr="008872EF" w:rsidRDefault="000333D5" w:rsidP="001B401D">
            <w:pPr>
              <w:rPr>
                <w:rFonts w:cs="Arial"/>
                <w:b/>
                <w:sz w:val="24"/>
                <w:szCs w:val="24"/>
              </w:rPr>
            </w:pPr>
            <w:r w:rsidRPr="008872EF">
              <w:rPr>
                <w:rFonts w:cs="Arial"/>
                <w:b/>
                <w:sz w:val="24"/>
                <w:szCs w:val="24"/>
              </w:rPr>
              <w:t>Upper middle</w:t>
            </w:r>
          </w:p>
        </w:tc>
        <w:tc>
          <w:tcPr>
            <w:tcW w:w="1701" w:type="dxa"/>
            <w:shd w:val="clear" w:color="auto" w:fill="auto"/>
          </w:tcPr>
          <w:p w14:paraId="50473FCA" w14:textId="772F3BA0" w:rsidR="000333D5" w:rsidRPr="008872EF" w:rsidRDefault="00CB61A9" w:rsidP="001B401D">
            <w:pPr>
              <w:rPr>
                <w:rFonts w:cs="Arial"/>
                <w:sz w:val="24"/>
                <w:szCs w:val="24"/>
              </w:rPr>
            </w:pPr>
            <w:r w:rsidRPr="008872EF">
              <w:rPr>
                <w:rFonts w:cs="Arial"/>
                <w:sz w:val="24"/>
                <w:szCs w:val="24"/>
              </w:rPr>
              <w:t>£14.78</w:t>
            </w:r>
          </w:p>
        </w:tc>
      </w:tr>
      <w:tr w:rsidR="000333D5" w:rsidRPr="008872EF" w14:paraId="771DED7F" w14:textId="77777777" w:rsidTr="00654D3E">
        <w:tc>
          <w:tcPr>
            <w:tcW w:w="1940" w:type="dxa"/>
            <w:shd w:val="clear" w:color="auto" w:fill="D9D9D9"/>
          </w:tcPr>
          <w:p w14:paraId="02BBD729" w14:textId="77777777" w:rsidR="000333D5" w:rsidRPr="008872EF" w:rsidRDefault="000333D5" w:rsidP="001B401D">
            <w:pPr>
              <w:rPr>
                <w:rFonts w:cs="Arial"/>
                <w:b/>
                <w:sz w:val="24"/>
                <w:szCs w:val="24"/>
              </w:rPr>
            </w:pPr>
            <w:r w:rsidRPr="008872EF">
              <w:rPr>
                <w:rFonts w:cs="Arial"/>
                <w:b/>
                <w:sz w:val="24"/>
                <w:szCs w:val="24"/>
              </w:rPr>
              <w:t>Upper</w:t>
            </w:r>
          </w:p>
        </w:tc>
        <w:tc>
          <w:tcPr>
            <w:tcW w:w="1701" w:type="dxa"/>
            <w:shd w:val="clear" w:color="auto" w:fill="auto"/>
          </w:tcPr>
          <w:p w14:paraId="7B39E548" w14:textId="2F465174" w:rsidR="000333D5" w:rsidRPr="008872EF" w:rsidRDefault="00CB61A9" w:rsidP="001B401D">
            <w:pPr>
              <w:rPr>
                <w:rFonts w:cs="Arial"/>
                <w:sz w:val="24"/>
                <w:szCs w:val="24"/>
              </w:rPr>
            </w:pPr>
            <w:r w:rsidRPr="008872EF">
              <w:rPr>
                <w:rFonts w:cs="Arial"/>
                <w:sz w:val="24"/>
                <w:szCs w:val="24"/>
              </w:rPr>
              <w:t>£21.38</w:t>
            </w:r>
          </w:p>
        </w:tc>
      </w:tr>
    </w:tbl>
    <w:p w14:paraId="7C6B364F" w14:textId="77777777" w:rsidR="005F2745" w:rsidRDefault="005F2745" w:rsidP="001B401D">
      <w:pPr>
        <w:ind w:left="720"/>
        <w:rPr>
          <w:rFonts w:cs="Arial"/>
          <w:sz w:val="24"/>
          <w:szCs w:val="24"/>
        </w:rPr>
      </w:pPr>
    </w:p>
    <w:p w14:paraId="094CD5F7" w14:textId="6CFE3E1F" w:rsidR="008872EF" w:rsidRPr="008872EF" w:rsidRDefault="008872EF" w:rsidP="00882536">
      <w:pPr>
        <w:ind w:left="720" w:right="709"/>
        <w:rPr>
          <w:rFonts w:cs="Arial"/>
          <w:sz w:val="24"/>
          <w:szCs w:val="24"/>
        </w:rPr>
      </w:pPr>
      <w:r w:rsidRPr="008872EF">
        <w:rPr>
          <w:rFonts w:cs="Arial"/>
          <w:sz w:val="24"/>
          <w:szCs w:val="24"/>
        </w:rPr>
        <w:t>The Company has a small proportion of part time employees</w:t>
      </w:r>
      <w:r w:rsidR="00D10784" w:rsidRPr="008872EF">
        <w:rPr>
          <w:rFonts w:cs="Arial"/>
          <w:sz w:val="24"/>
          <w:szCs w:val="24"/>
        </w:rPr>
        <w:t xml:space="preserve">. </w:t>
      </w:r>
      <w:r w:rsidRPr="008872EF">
        <w:rPr>
          <w:rFonts w:cs="Arial"/>
          <w:sz w:val="24"/>
          <w:szCs w:val="24"/>
        </w:rPr>
        <w:t xml:space="preserve">567 employees (93%) are full time and 42 employees (7%) are part time. </w:t>
      </w:r>
      <w:r w:rsidR="001B401D">
        <w:rPr>
          <w:rFonts w:cs="Arial"/>
          <w:sz w:val="24"/>
          <w:szCs w:val="24"/>
        </w:rPr>
        <w:t>Of the 42 part time staff, only 7 of these are male.</w:t>
      </w:r>
      <w:r w:rsidRPr="008872EF">
        <w:rPr>
          <w:rFonts w:cs="Arial"/>
          <w:sz w:val="24"/>
          <w:szCs w:val="24"/>
        </w:rPr>
        <w:t xml:space="preserve"> The numbers of full time and part time staff in each quartile are shown in the table below</w:t>
      </w:r>
      <w:r w:rsidR="001B401D">
        <w:rPr>
          <w:rFonts w:cs="Arial"/>
          <w:sz w:val="24"/>
          <w:szCs w:val="24"/>
        </w:rPr>
        <w:t>:</w:t>
      </w:r>
    </w:p>
    <w:p w14:paraId="64A301E4" w14:textId="77777777" w:rsidR="008872EF" w:rsidRPr="008872EF" w:rsidRDefault="008872EF" w:rsidP="001B401D">
      <w:pPr>
        <w:ind w:left="720"/>
        <w:rPr>
          <w:rFonts w:eastAsiaTheme="minorHAnsi" w:cs="Arial"/>
          <w:sz w:val="24"/>
          <w:szCs w:val="24"/>
        </w:rPr>
      </w:pPr>
    </w:p>
    <w:p w14:paraId="2D533FA1" w14:textId="77777777" w:rsidR="00D66931" w:rsidRPr="008872EF" w:rsidRDefault="00D66931" w:rsidP="001B401D">
      <w:pPr>
        <w:rPr>
          <w:rFonts w:cs="Arial"/>
        </w:rPr>
      </w:pPr>
    </w:p>
    <w:tbl>
      <w:tblPr>
        <w:tblW w:w="0" w:type="auto"/>
        <w:tblInd w:w="1384" w:type="dxa"/>
        <w:tblCellMar>
          <w:left w:w="0" w:type="dxa"/>
          <w:right w:w="0" w:type="dxa"/>
        </w:tblCellMar>
        <w:tblLook w:val="04A0" w:firstRow="1" w:lastRow="0" w:firstColumn="1" w:lastColumn="0" w:noHBand="0" w:noVBand="1"/>
      </w:tblPr>
      <w:tblGrid>
        <w:gridCol w:w="1940"/>
        <w:gridCol w:w="1134"/>
        <w:gridCol w:w="1134"/>
        <w:gridCol w:w="1134"/>
        <w:gridCol w:w="1134"/>
      </w:tblGrid>
      <w:tr w:rsidR="00D66931" w:rsidRPr="008872EF" w14:paraId="48603CCE" w14:textId="77777777" w:rsidTr="00D66931">
        <w:tc>
          <w:tcPr>
            <w:tcW w:w="194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BCD6E2" w14:textId="77777777" w:rsidR="00D66931" w:rsidRPr="008872EF" w:rsidRDefault="00D66931" w:rsidP="001B401D">
            <w:pPr>
              <w:rPr>
                <w:rFonts w:cs="Arial"/>
                <w:b/>
                <w:bCs/>
                <w:sz w:val="24"/>
                <w:szCs w:val="24"/>
              </w:rPr>
            </w:pPr>
            <w:r w:rsidRPr="008872EF">
              <w:rPr>
                <w:rFonts w:cs="Arial"/>
                <w:b/>
                <w:bCs/>
                <w:color w:val="000000"/>
                <w:sz w:val="24"/>
                <w:szCs w:val="24"/>
              </w:rPr>
              <w:t>Quartile</w:t>
            </w:r>
          </w:p>
        </w:tc>
        <w:tc>
          <w:tcPr>
            <w:tcW w:w="226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08C7C50" w14:textId="77777777" w:rsidR="00D66931" w:rsidRPr="008872EF" w:rsidRDefault="00D66931" w:rsidP="001B401D">
            <w:pPr>
              <w:jc w:val="center"/>
              <w:rPr>
                <w:rFonts w:cs="Arial"/>
                <w:b/>
                <w:bCs/>
                <w:sz w:val="24"/>
                <w:szCs w:val="24"/>
              </w:rPr>
            </w:pPr>
            <w:r w:rsidRPr="008872EF">
              <w:rPr>
                <w:rFonts w:cs="Arial"/>
                <w:b/>
                <w:bCs/>
                <w:color w:val="000000"/>
                <w:sz w:val="24"/>
                <w:szCs w:val="24"/>
              </w:rPr>
              <w:t>Full time</w:t>
            </w:r>
          </w:p>
        </w:tc>
        <w:tc>
          <w:tcPr>
            <w:tcW w:w="226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889C53B" w14:textId="77777777" w:rsidR="00D66931" w:rsidRPr="008872EF" w:rsidRDefault="00D66931" w:rsidP="001B401D">
            <w:pPr>
              <w:jc w:val="center"/>
              <w:rPr>
                <w:rFonts w:cs="Arial"/>
                <w:b/>
                <w:bCs/>
                <w:sz w:val="24"/>
                <w:szCs w:val="24"/>
              </w:rPr>
            </w:pPr>
            <w:r w:rsidRPr="008872EF">
              <w:rPr>
                <w:rFonts w:cs="Arial"/>
                <w:b/>
                <w:bCs/>
                <w:color w:val="000000"/>
                <w:sz w:val="24"/>
                <w:szCs w:val="24"/>
              </w:rPr>
              <w:t>Part time</w:t>
            </w:r>
          </w:p>
        </w:tc>
      </w:tr>
      <w:tr w:rsidR="00D66931" w:rsidRPr="008872EF" w14:paraId="7D271FB3" w14:textId="77777777" w:rsidTr="00D66931">
        <w:tc>
          <w:tcPr>
            <w:tcW w:w="0" w:type="auto"/>
            <w:vMerge/>
            <w:tcBorders>
              <w:top w:val="single" w:sz="8" w:space="0" w:color="auto"/>
              <w:left w:val="single" w:sz="8" w:space="0" w:color="auto"/>
              <w:bottom w:val="single" w:sz="8" w:space="0" w:color="auto"/>
              <w:right w:val="single" w:sz="8" w:space="0" w:color="auto"/>
            </w:tcBorders>
            <w:vAlign w:val="center"/>
            <w:hideMark/>
          </w:tcPr>
          <w:p w14:paraId="2F097E0C" w14:textId="77777777" w:rsidR="00D66931" w:rsidRPr="008872EF" w:rsidRDefault="00D66931" w:rsidP="001B401D">
            <w:pPr>
              <w:rPr>
                <w:rFonts w:eastAsiaTheme="minorHAnsi" w:cs="Arial"/>
                <w:b/>
                <w:bCs/>
                <w:sz w:val="24"/>
                <w:szCs w:val="24"/>
              </w:rPr>
            </w:pP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A354E01" w14:textId="77777777" w:rsidR="00D66931" w:rsidRPr="008872EF" w:rsidRDefault="00D66931" w:rsidP="001B401D">
            <w:pPr>
              <w:rPr>
                <w:rFonts w:cs="Arial"/>
                <w:b/>
                <w:bCs/>
                <w:sz w:val="24"/>
                <w:szCs w:val="24"/>
              </w:rPr>
            </w:pPr>
            <w:r w:rsidRPr="008872EF">
              <w:rPr>
                <w:rFonts w:cs="Arial"/>
                <w:b/>
                <w:bCs/>
                <w:color w:val="000000"/>
                <w:sz w:val="24"/>
                <w:szCs w:val="24"/>
              </w:rPr>
              <w:t>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9FE4652" w14:textId="77777777" w:rsidR="00D66931" w:rsidRPr="008872EF" w:rsidRDefault="00D66931" w:rsidP="001B401D">
            <w:pPr>
              <w:rPr>
                <w:rFonts w:cs="Arial"/>
                <w:b/>
                <w:bCs/>
                <w:sz w:val="24"/>
                <w:szCs w:val="24"/>
              </w:rPr>
            </w:pPr>
            <w:r w:rsidRPr="008872EF">
              <w:rPr>
                <w:rFonts w:cs="Arial"/>
                <w:b/>
                <w:bCs/>
                <w:color w:val="000000"/>
                <w:sz w:val="24"/>
                <w:szCs w:val="24"/>
              </w:rPr>
              <w:t>Women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ADC75FA" w14:textId="77777777" w:rsidR="00D66931" w:rsidRPr="008872EF" w:rsidRDefault="00D66931" w:rsidP="001B401D">
            <w:pPr>
              <w:rPr>
                <w:rFonts w:cs="Arial"/>
                <w:b/>
                <w:bCs/>
                <w:sz w:val="24"/>
                <w:szCs w:val="24"/>
              </w:rPr>
            </w:pPr>
            <w:r w:rsidRPr="008872EF">
              <w:rPr>
                <w:rFonts w:cs="Arial"/>
                <w:b/>
                <w:bCs/>
                <w:color w:val="000000"/>
                <w:sz w:val="24"/>
                <w:szCs w:val="24"/>
              </w:rPr>
              <w:t>Men</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6A6EEE1" w14:textId="77777777" w:rsidR="00D66931" w:rsidRPr="008872EF" w:rsidRDefault="00D66931" w:rsidP="001B401D">
            <w:pPr>
              <w:rPr>
                <w:rFonts w:cs="Arial"/>
                <w:b/>
                <w:bCs/>
                <w:sz w:val="24"/>
                <w:szCs w:val="24"/>
              </w:rPr>
            </w:pPr>
            <w:r w:rsidRPr="008872EF">
              <w:rPr>
                <w:rFonts w:cs="Arial"/>
                <w:b/>
                <w:bCs/>
                <w:color w:val="000000"/>
                <w:sz w:val="24"/>
                <w:szCs w:val="24"/>
              </w:rPr>
              <w:t>Women</w:t>
            </w:r>
          </w:p>
        </w:tc>
      </w:tr>
      <w:tr w:rsidR="00D66931" w:rsidRPr="008872EF" w14:paraId="19CFD1B6"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F820DE" w14:textId="77777777" w:rsidR="00D66931" w:rsidRPr="008872EF" w:rsidRDefault="00D66931" w:rsidP="001B401D">
            <w:pPr>
              <w:rPr>
                <w:rFonts w:cs="Arial"/>
                <w:b/>
                <w:bCs/>
                <w:sz w:val="24"/>
                <w:szCs w:val="24"/>
              </w:rPr>
            </w:pPr>
            <w:r w:rsidRPr="008872EF">
              <w:rPr>
                <w:rFonts w:cs="Arial"/>
                <w:b/>
                <w:bCs/>
                <w:color w:val="000000"/>
                <w:sz w:val="24"/>
                <w:szCs w:val="24"/>
              </w:rPr>
              <w:t>Lower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11D4D1" w14:textId="77777777" w:rsidR="00D66931" w:rsidRPr="008872EF" w:rsidRDefault="00D66931" w:rsidP="001B401D">
            <w:pPr>
              <w:jc w:val="center"/>
              <w:rPr>
                <w:rFonts w:cs="Arial"/>
                <w:sz w:val="24"/>
                <w:szCs w:val="24"/>
              </w:rPr>
            </w:pPr>
            <w:r w:rsidRPr="008872EF">
              <w:rPr>
                <w:rFonts w:cs="Arial"/>
                <w:sz w:val="24"/>
                <w:szCs w:val="24"/>
              </w:rPr>
              <w:t>105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1E2C8C" w14:textId="77777777" w:rsidR="00D66931" w:rsidRPr="008872EF" w:rsidRDefault="00D66931" w:rsidP="001B401D">
            <w:pPr>
              <w:jc w:val="center"/>
              <w:rPr>
                <w:rFonts w:cs="Arial"/>
                <w:sz w:val="24"/>
                <w:szCs w:val="24"/>
              </w:rPr>
            </w:pPr>
            <w:r w:rsidRPr="008872EF">
              <w:rPr>
                <w:rFonts w:cs="Arial"/>
                <w:sz w:val="24"/>
                <w:szCs w:val="24"/>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9FA96F" w14:textId="77777777" w:rsidR="00D66931" w:rsidRPr="008872EF" w:rsidRDefault="00D66931" w:rsidP="001B401D">
            <w:pPr>
              <w:jc w:val="center"/>
              <w:rPr>
                <w:rFonts w:cs="Arial"/>
                <w:sz w:val="24"/>
                <w:szCs w:val="24"/>
              </w:rPr>
            </w:pPr>
            <w:r w:rsidRPr="008872EF">
              <w:rPr>
                <w:rFonts w:cs="Arial"/>
                <w:sz w:val="24"/>
                <w:szCs w:val="24"/>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933F877" w14:textId="77777777" w:rsidR="00D66931" w:rsidRPr="008872EF" w:rsidRDefault="00D66931" w:rsidP="001B401D">
            <w:pPr>
              <w:jc w:val="center"/>
              <w:rPr>
                <w:rFonts w:cs="Arial"/>
                <w:sz w:val="24"/>
                <w:szCs w:val="24"/>
              </w:rPr>
            </w:pPr>
            <w:r w:rsidRPr="008872EF">
              <w:rPr>
                <w:rFonts w:cs="Arial"/>
                <w:sz w:val="24"/>
                <w:szCs w:val="24"/>
              </w:rPr>
              <w:t>7</w:t>
            </w:r>
          </w:p>
        </w:tc>
      </w:tr>
      <w:tr w:rsidR="00D66931" w:rsidRPr="008872EF" w14:paraId="0CBB8ECF"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ACFCD8" w14:textId="77777777" w:rsidR="00D66931" w:rsidRPr="008872EF" w:rsidRDefault="00D66931" w:rsidP="001B401D">
            <w:pPr>
              <w:rPr>
                <w:rFonts w:cs="Arial"/>
                <w:b/>
                <w:bCs/>
                <w:sz w:val="24"/>
                <w:szCs w:val="24"/>
              </w:rPr>
            </w:pPr>
            <w:r w:rsidRPr="008872EF">
              <w:rPr>
                <w:rFonts w:cs="Arial"/>
                <w:b/>
                <w:bCs/>
                <w:color w:val="000000"/>
                <w:sz w:val="24"/>
                <w:szCs w:val="24"/>
              </w:rPr>
              <w:t>Lower middle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6CE07C" w14:textId="77777777" w:rsidR="00D66931" w:rsidRPr="008872EF" w:rsidRDefault="00D66931" w:rsidP="001B401D">
            <w:pPr>
              <w:jc w:val="center"/>
              <w:rPr>
                <w:rFonts w:cs="Arial"/>
                <w:sz w:val="24"/>
                <w:szCs w:val="24"/>
              </w:rPr>
            </w:pPr>
            <w:r w:rsidRPr="008872EF">
              <w:rPr>
                <w:rFonts w:cs="Arial"/>
                <w:sz w:val="24"/>
                <w:szCs w:val="24"/>
              </w:rPr>
              <w:t>102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ECABBE" w14:textId="77777777" w:rsidR="00D66931" w:rsidRPr="008872EF" w:rsidRDefault="00D66931" w:rsidP="001B401D">
            <w:pPr>
              <w:jc w:val="center"/>
              <w:rPr>
                <w:rFonts w:cs="Arial"/>
                <w:sz w:val="24"/>
                <w:szCs w:val="24"/>
              </w:rPr>
            </w:pPr>
            <w:r w:rsidRPr="008872EF">
              <w:rPr>
                <w:rFonts w:cs="Arial"/>
                <w:sz w:val="24"/>
                <w:szCs w:val="24"/>
              </w:rPr>
              <w:t>39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48588CB" w14:textId="77777777" w:rsidR="00D66931" w:rsidRPr="008872EF" w:rsidRDefault="00D66931" w:rsidP="001B401D">
            <w:pPr>
              <w:jc w:val="center"/>
              <w:rPr>
                <w:rFonts w:cs="Arial"/>
                <w:sz w:val="24"/>
                <w:szCs w:val="24"/>
              </w:rPr>
            </w:pPr>
            <w:r w:rsidRPr="008872EF">
              <w:rPr>
                <w:rFonts w:cs="Arial"/>
                <w:sz w:val="24"/>
                <w:szCs w:val="24"/>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1DD9575" w14:textId="77777777" w:rsidR="00D66931" w:rsidRPr="008872EF" w:rsidRDefault="00D66931" w:rsidP="001B401D">
            <w:pPr>
              <w:jc w:val="center"/>
              <w:rPr>
                <w:rFonts w:cs="Arial"/>
                <w:sz w:val="24"/>
                <w:szCs w:val="24"/>
              </w:rPr>
            </w:pPr>
            <w:r w:rsidRPr="008872EF">
              <w:rPr>
                <w:rFonts w:cs="Arial"/>
                <w:sz w:val="24"/>
                <w:szCs w:val="24"/>
              </w:rPr>
              <w:t>11</w:t>
            </w:r>
          </w:p>
        </w:tc>
      </w:tr>
      <w:tr w:rsidR="00D66931" w:rsidRPr="008872EF" w14:paraId="30F93379"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6264DB" w14:textId="77777777" w:rsidR="00D66931" w:rsidRPr="008872EF" w:rsidRDefault="00D66931" w:rsidP="001B401D">
            <w:pPr>
              <w:rPr>
                <w:rFonts w:cs="Arial"/>
                <w:b/>
                <w:bCs/>
                <w:sz w:val="24"/>
                <w:szCs w:val="24"/>
              </w:rPr>
            </w:pPr>
            <w:r w:rsidRPr="008872EF">
              <w:rPr>
                <w:rFonts w:cs="Arial"/>
                <w:b/>
                <w:bCs/>
                <w:color w:val="000000"/>
                <w:sz w:val="24"/>
                <w:szCs w:val="24"/>
              </w:rPr>
              <w:t>Upper middle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3C3EE3D" w14:textId="77777777" w:rsidR="00D66931" w:rsidRPr="008872EF" w:rsidRDefault="00D66931" w:rsidP="001B401D">
            <w:pPr>
              <w:jc w:val="center"/>
              <w:rPr>
                <w:rFonts w:cs="Arial"/>
                <w:sz w:val="24"/>
                <w:szCs w:val="24"/>
              </w:rPr>
            </w:pPr>
            <w:r w:rsidRPr="008872EF">
              <w:rPr>
                <w:rFonts w:cs="Arial"/>
                <w:sz w:val="24"/>
                <w:szCs w:val="24"/>
              </w:rPr>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E977B57" w14:textId="77777777" w:rsidR="00D66931" w:rsidRPr="008872EF" w:rsidRDefault="00D66931" w:rsidP="001B401D">
            <w:pPr>
              <w:jc w:val="center"/>
              <w:rPr>
                <w:rFonts w:cs="Arial"/>
                <w:sz w:val="24"/>
                <w:szCs w:val="24"/>
              </w:rPr>
            </w:pPr>
            <w:r w:rsidRPr="008872EF">
              <w:rPr>
                <w:rFonts w:cs="Arial"/>
                <w:sz w:val="24"/>
                <w:szCs w:val="24"/>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463A8FF" w14:textId="77777777" w:rsidR="00D66931" w:rsidRPr="008872EF" w:rsidRDefault="00D66931" w:rsidP="001B401D">
            <w:pPr>
              <w:jc w:val="center"/>
              <w:rPr>
                <w:rFonts w:cs="Arial"/>
                <w:sz w:val="24"/>
                <w:szCs w:val="24"/>
              </w:rPr>
            </w:pPr>
            <w:r w:rsidRPr="008872EF">
              <w:rPr>
                <w:rFonts w:cs="Arial"/>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E572A29" w14:textId="77777777" w:rsidR="00D66931" w:rsidRPr="008872EF" w:rsidRDefault="00D66931" w:rsidP="001B401D">
            <w:pPr>
              <w:jc w:val="center"/>
              <w:rPr>
                <w:rFonts w:cs="Arial"/>
                <w:sz w:val="24"/>
                <w:szCs w:val="24"/>
              </w:rPr>
            </w:pPr>
            <w:r w:rsidRPr="008872EF">
              <w:rPr>
                <w:rFonts w:cs="Arial"/>
                <w:sz w:val="24"/>
                <w:szCs w:val="24"/>
              </w:rPr>
              <w:t>10</w:t>
            </w:r>
          </w:p>
        </w:tc>
      </w:tr>
      <w:tr w:rsidR="00D66931" w:rsidRPr="008872EF" w14:paraId="51163F44"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3874DC" w14:textId="77777777" w:rsidR="00D66931" w:rsidRPr="008872EF" w:rsidRDefault="00D66931" w:rsidP="001B401D">
            <w:pPr>
              <w:rPr>
                <w:rFonts w:cs="Arial"/>
                <w:b/>
                <w:bCs/>
                <w:sz w:val="24"/>
                <w:szCs w:val="24"/>
              </w:rPr>
            </w:pPr>
            <w:r w:rsidRPr="008872EF">
              <w:rPr>
                <w:rFonts w:cs="Arial"/>
                <w:b/>
                <w:bCs/>
                <w:color w:val="000000"/>
                <w:sz w:val="24"/>
                <w:szCs w:val="24"/>
              </w:rPr>
              <w:t>Upper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E7F5D7" w14:textId="77777777" w:rsidR="00D66931" w:rsidRPr="008872EF" w:rsidRDefault="00D66931" w:rsidP="001B401D">
            <w:pPr>
              <w:jc w:val="center"/>
              <w:rPr>
                <w:rFonts w:cs="Arial"/>
                <w:sz w:val="24"/>
                <w:szCs w:val="24"/>
              </w:rPr>
            </w:pPr>
            <w:r w:rsidRPr="008872EF">
              <w:rPr>
                <w:rFonts w:cs="Arial"/>
                <w:sz w:val="24"/>
                <w:szCs w:val="24"/>
              </w:rPr>
              <w:t>122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8CEEB61" w14:textId="77777777" w:rsidR="00D66931" w:rsidRPr="008872EF" w:rsidRDefault="00D66931" w:rsidP="001B401D">
            <w:pPr>
              <w:jc w:val="center"/>
              <w:rPr>
                <w:rFonts w:cs="Arial"/>
                <w:sz w:val="24"/>
                <w:szCs w:val="24"/>
              </w:rPr>
            </w:pPr>
            <w:r w:rsidRPr="008872EF">
              <w:rPr>
                <w:rFonts w:cs="Arial"/>
                <w:sz w:val="24"/>
                <w:szCs w:val="24"/>
              </w:rPr>
              <w:t>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28E3DE" w14:textId="77777777" w:rsidR="00D66931" w:rsidRPr="008872EF" w:rsidRDefault="00D66931" w:rsidP="001B401D">
            <w:pPr>
              <w:jc w:val="center"/>
              <w:rPr>
                <w:rFonts w:cs="Arial"/>
                <w:sz w:val="24"/>
                <w:szCs w:val="24"/>
              </w:rPr>
            </w:pPr>
            <w:r w:rsidRPr="008872EF">
              <w:rPr>
                <w:rFonts w:cs="Arial"/>
                <w:sz w:val="24"/>
                <w:szCs w:val="24"/>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CBAB09C" w14:textId="77777777" w:rsidR="00D66931" w:rsidRPr="008872EF" w:rsidRDefault="00D66931" w:rsidP="001B401D">
            <w:pPr>
              <w:rPr>
                <w:rFonts w:cs="Arial"/>
                <w:sz w:val="24"/>
                <w:szCs w:val="24"/>
              </w:rPr>
            </w:pPr>
            <w:r w:rsidRPr="008872EF">
              <w:rPr>
                <w:rFonts w:cs="Arial"/>
                <w:sz w:val="24"/>
                <w:szCs w:val="24"/>
              </w:rPr>
              <w:t>       2</w:t>
            </w:r>
          </w:p>
        </w:tc>
      </w:tr>
      <w:tr w:rsidR="00D66931" w:rsidRPr="008872EF" w14:paraId="2F53D396" w14:textId="77777777" w:rsidTr="00D66931">
        <w:tc>
          <w:tcPr>
            <w:tcW w:w="19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85F170" w14:textId="77777777" w:rsidR="00D66931" w:rsidRPr="008872EF" w:rsidRDefault="00D66931" w:rsidP="001B401D">
            <w:pPr>
              <w:rPr>
                <w:rFonts w:cs="Arial"/>
                <w:b/>
                <w:bCs/>
                <w:sz w:val="24"/>
                <w:szCs w:val="24"/>
              </w:rPr>
            </w:pPr>
            <w:r w:rsidRPr="008872EF">
              <w:rPr>
                <w:rFonts w:cs="Arial"/>
                <w:b/>
                <w:bCs/>
                <w:color w:val="000000"/>
                <w:sz w:val="24"/>
                <w:szCs w:val="24"/>
              </w:rPr>
              <w:t>Total</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68C3871" w14:textId="77777777" w:rsidR="00D66931" w:rsidRPr="008872EF" w:rsidRDefault="00D66931" w:rsidP="001B401D">
            <w:pPr>
              <w:jc w:val="center"/>
              <w:rPr>
                <w:rFonts w:cs="Arial"/>
                <w:b/>
                <w:bCs/>
                <w:sz w:val="24"/>
                <w:szCs w:val="24"/>
              </w:rPr>
            </w:pPr>
            <w:r w:rsidRPr="008872EF">
              <w:rPr>
                <w:rFonts w:cs="Arial"/>
                <w:b/>
                <w:bCs/>
                <w:color w:val="000000"/>
                <w:sz w:val="24"/>
                <w:szCs w:val="24"/>
              </w:rPr>
              <w:t>417</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C5E3052" w14:textId="77777777" w:rsidR="00D66931" w:rsidRPr="008872EF" w:rsidRDefault="00D66931" w:rsidP="001B401D">
            <w:pPr>
              <w:jc w:val="center"/>
              <w:rPr>
                <w:rFonts w:cs="Arial"/>
                <w:b/>
                <w:bCs/>
                <w:sz w:val="24"/>
                <w:szCs w:val="24"/>
              </w:rPr>
            </w:pPr>
            <w:r w:rsidRPr="008872EF">
              <w:rPr>
                <w:rFonts w:cs="Arial"/>
                <w:b/>
                <w:bCs/>
                <w:color w:val="000000"/>
                <w:sz w:val="24"/>
                <w:szCs w:val="24"/>
              </w:rPr>
              <w:t>150</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470C1EF" w14:textId="77777777" w:rsidR="00D66931" w:rsidRPr="008872EF" w:rsidRDefault="00D66931" w:rsidP="001B401D">
            <w:pPr>
              <w:jc w:val="center"/>
              <w:rPr>
                <w:rFonts w:cs="Arial"/>
                <w:b/>
                <w:bCs/>
                <w:sz w:val="24"/>
                <w:szCs w:val="24"/>
              </w:rPr>
            </w:pPr>
            <w:r w:rsidRPr="008872EF">
              <w:rPr>
                <w:rFonts w:cs="Arial"/>
                <w:b/>
                <w:bCs/>
                <w:color w:val="000000"/>
                <w:sz w:val="24"/>
                <w:szCs w:val="24"/>
              </w:rPr>
              <w:t>7</w:t>
            </w: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4CCC950" w14:textId="77777777" w:rsidR="00D66931" w:rsidRPr="008872EF" w:rsidRDefault="00D66931" w:rsidP="001B401D">
            <w:pPr>
              <w:jc w:val="center"/>
              <w:rPr>
                <w:rFonts w:cs="Arial"/>
                <w:b/>
                <w:bCs/>
                <w:sz w:val="24"/>
                <w:szCs w:val="24"/>
              </w:rPr>
            </w:pPr>
            <w:r w:rsidRPr="008872EF">
              <w:rPr>
                <w:rFonts w:cs="Arial"/>
                <w:b/>
                <w:bCs/>
                <w:color w:val="000000"/>
                <w:sz w:val="24"/>
                <w:szCs w:val="24"/>
              </w:rPr>
              <w:t>35</w:t>
            </w:r>
          </w:p>
        </w:tc>
      </w:tr>
    </w:tbl>
    <w:p w14:paraId="2C45CDB7" w14:textId="345F0F4C" w:rsidR="001E6670" w:rsidRPr="008872EF" w:rsidRDefault="001E6670" w:rsidP="001B401D">
      <w:pPr>
        <w:ind w:left="720"/>
        <w:rPr>
          <w:rFonts w:cs="Arial"/>
          <w:b/>
          <w:sz w:val="24"/>
          <w:szCs w:val="24"/>
        </w:rPr>
      </w:pPr>
    </w:p>
    <w:p w14:paraId="7F3854CD" w14:textId="4FAB0C1F" w:rsidR="00D66931" w:rsidRPr="008872EF" w:rsidRDefault="001B401D" w:rsidP="001B401D">
      <w:pPr>
        <w:rPr>
          <w:rFonts w:cs="Arial"/>
          <w:b/>
          <w:sz w:val="24"/>
          <w:szCs w:val="24"/>
        </w:rPr>
      </w:pPr>
      <w:r>
        <w:rPr>
          <w:rFonts w:cs="Arial"/>
          <w:b/>
          <w:sz w:val="24"/>
          <w:szCs w:val="24"/>
        </w:rPr>
        <w:tab/>
      </w:r>
    </w:p>
    <w:p w14:paraId="0F8F0738" w14:textId="1933F941" w:rsidR="000333D5" w:rsidRPr="008872EF" w:rsidRDefault="00C77D72" w:rsidP="001B401D">
      <w:pPr>
        <w:ind w:firstLine="720"/>
        <w:rPr>
          <w:rFonts w:cs="Arial"/>
          <w:b/>
          <w:sz w:val="24"/>
          <w:szCs w:val="24"/>
        </w:rPr>
      </w:pPr>
      <w:r w:rsidRPr="008872EF">
        <w:rPr>
          <w:rFonts w:cs="Arial"/>
          <w:b/>
          <w:sz w:val="24"/>
          <w:szCs w:val="24"/>
        </w:rPr>
        <w:t>Progress towards c</w:t>
      </w:r>
      <w:r w:rsidR="000333D5" w:rsidRPr="008872EF">
        <w:rPr>
          <w:rFonts w:cs="Arial"/>
          <w:b/>
          <w:sz w:val="24"/>
          <w:szCs w:val="24"/>
        </w:rPr>
        <w:t>losing the gap</w:t>
      </w:r>
    </w:p>
    <w:p w14:paraId="318A7B5C" w14:textId="77777777" w:rsidR="001E6670" w:rsidRPr="008872EF" w:rsidRDefault="001E6670" w:rsidP="001B401D">
      <w:pPr>
        <w:ind w:left="720"/>
        <w:rPr>
          <w:rFonts w:cs="Arial"/>
          <w:sz w:val="24"/>
          <w:szCs w:val="24"/>
        </w:rPr>
      </w:pPr>
    </w:p>
    <w:p w14:paraId="7D14AE81" w14:textId="4640D7BC" w:rsidR="000333D5" w:rsidRPr="008872EF" w:rsidRDefault="00725BA8" w:rsidP="009D6B0C">
      <w:pPr>
        <w:ind w:left="720" w:right="1134"/>
        <w:rPr>
          <w:rFonts w:cs="Arial"/>
          <w:sz w:val="24"/>
          <w:szCs w:val="24"/>
        </w:rPr>
      </w:pPr>
      <w:r w:rsidRPr="008872EF">
        <w:rPr>
          <w:rFonts w:cs="Arial"/>
          <w:sz w:val="24"/>
          <w:szCs w:val="24"/>
        </w:rPr>
        <w:t>In 202</w:t>
      </w:r>
      <w:r w:rsidR="00677B6D">
        <w:rPr>
          <w:rFonts w:cs="Arial"/>
          <w:sz w:val="24"/>
          <w:szCs w:val="24"/>
        </w:rPr>
        <w:t>1</w:t>
      </w:r>
      <w:r w:rsidRPr="008872EF">
        <w:rPr>
          <w:rFonts w:cs="Arial"/>
          <w:sz w:val="24"/>
          <w:szCs w:val="24"/>
        </w:rPr>
        <w:t>/202</w:t>
      </w:r>
      <w:r w:rsidR="00677B6D">
        <w:rPr>
          <w:rFonts w:cs="Arial"/>
          <w:sz w:val="24"/>
          <w:szCs w:val="24"/>
        </w:rPr>
        <w:t>2</w:t>
      </w:r>
      <w:r w:rsidRPr="008872EF">
        <w:rPr>
          <w:rFonts w:cs="Arial"/>
          <w:sz w:val="24"/>
          <w:szCs w:val="24"/>
        </w:rPr>
        <w:t xml:space="preserve"> the following progress was made around </w:t>
      </w:r>
      <w:r w:rsidR="001B401D">
        <w:rPr>
          <w:rFonts w:cs="Arial"/>
          <w:sz w:val="24"/>
          <w:szCs w:val="24"/>
        </w:rPr>
        <w:t xml:space="preserve">equality, diversity inclusion </w:t>
      </w:r>
      <w:r w:rsidR="009D6B0C">
        <w:rPr>
          <w:rFonts w:cs="Arial"/>
          <w:sz w:val="24"/>
          <w:szCs w:val="24"/>
        </w:rPr>
        <w:t xml:space="preserve">and </w:t>
      </w:r>
      <w:r w:rsidRPr="008872EF">
        <w:rPr>
          <w:rFonts w:cs="Arial"/>
          <w:sz w:val="24"/>
          <w:szCs w:val="24"/>
        </w:rPr>
        <w:t>the Gender Pay Gap:</w:t>
      </w:r>
    </w:p>
    <w:p w14:paraId="0F9AD570" w14:textId="41FAD05A" w:rsidR="00725BA8" w:rsidRPr="008872EF" w:rsidRDefault="00725BA8" w:rsidP="009D6B0C">
      <w:pPr>
        <w:ind w:left="720" w:right="1134"/>
        <w:rPr>
          <w:rFonts w:cs="Arial"/>
          <w:sz w:val="24"/>
          <w:szCs w:val="24"/>
        </w:rPr>
      </w:pPr>
    </w:p>
    <w:p w14:paraId="3B97C22D" w14:textId="77777777"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Rolled out Equality, Diversity and Inclusion training for over 200 staff which includes a focus on unconscious bias and will continue in 2022/23.</w:t>
      </w:r>
    </w:p>
    <w:p w14:paraId="34BE4BF8" w14:textId="77777777" w:rsidR="00D10784" w:rsidRDefault="00D10784" w:rsidP="00D10784">
      <w:pPr>
        <w:pStyle w:val="ListParagraph"/>
        <w:ind w:left="1440" w:right="1134"/>
        <w:rPr>
          <w:rFonts w:ascii="Arial" w:hAnsi="Arial" w:cs="Arial"/>
          <w:sz w:val="24"/>
          <w:szCs w:val="24"/>
        </w:rPr>
      </w:pPr>
    </w:p>
    <w:p w14:paraId="7D42D1D8" w14:textId="4448B7C1"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lastRenderedPageBreak/>
        <w:t xml:space="preserve">Celebrated diversity, such as holding a coffee morning for International Women’s Day, where female staff had the opportunity to hear the experiences of several high-profile females from the North East. The event included a clothing donation to </w:t>
      </w:r>
      <w:proofErr w:type="spellStart"/>
      <w:r w:rsidRPr="008872EF">
        <w:rPr>
          <w:rFonts w:ascii="Arial" w:hAnsi="Arial" w:cs="Arial"/>
          <w:sz w:val="24"/>
          <w:szCs w:val="24"/>
        </w:rPr>
        <w:t>SmartWorks</w:t>
      </w:r>
      <w:proofErr w:type="spellEnd"/>
      <w:r w:rsidRPr="008872EF">
        <w:rPr>
          <w:rFonts w:ascii="Arial" w:hAnsi="Arial" w:cs="Arial"/>
          <w:sz w:val="24"/>
          <w:szCs w:val="24"/>
        </w:rPr>
        <w:t xml:space="preserve"> Newcastle. </w:t>
      </w:r>
      <w:proofErr w:type="spellStart"/>
      <w:r w:rsidRPr="008872EF">
        <w:rPr>
          <w:rFonts w:ascii="Arial" w:hAnsi="Arial" w:cs="Arial"/>
          <w:sz w:val="24"/>
          <w:szCs w:val="24"/>
        </w:rPr>
        <w:t>SmartWorks</w:t>
      </w:r>
      <w:proofErr w:type="spellEnd"/>
      <w:r w:rsidRPr="008872EF">
        <w:rPr>
          <w:rFonts w:ascii="Arial" w:hAnsi="Arial" w:cs="Arial"/>
          <w:sz w:val="24"/>
          <w:szCs w:val="24"/>
        </w:rPr>
        <w:t xml:space="preserve"> is a charity who provide local disadvantaged women with a new professional outfit and coaching ahead of job interviews.</w:t>
      </w:r>
    </w:p>
    <w:p w14:paraId="11DA4773" w14:textId="77777777"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Reviewed our recruitment processes, resulting in applicants no longer being asked about their previous salary in line with best practice for equal pay</w:t>
      </w:r>
    </w:p>
    <w:p w14:paraId="4D5B71CD" w14:textId="7C262934"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Piloted a hybrid working trial to inform a Hybrid Working Policy</w:t>
      </w:r>
    </w:p>
    <w:p w14:paraId="15D1DE8D" w14:textId="77777777"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Developed our new People Strategy that is aligned to the EDI Strategy</w:t>
      </w:r>
    </w:p>
    <w:p w14:paraId="55282DCC" w14:textId="77777777"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 xml:space="preserve">Increased the focus within the Corporate Business Team on equality, diversity and inclusion to support the organisation to embed EDI within the organisation. </w:t>
      </w:r>
    </w:p>
    <w:p w14:paraId="31B47E91" w14:textId="77777777"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Surveyed all staff and held consultation groups across all levels to inform our EDI priorities</w:t>
      </w:r>
    </w:p>
    <w:p w14:paraId="712D2F51" w14:textId="18DA456E"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Commissioned</w:t>
      </w:r>
      <w:r w:rsidR="00601B36" w:rsidRPr="008872EF">
        <w:rPr>
          <w:rFonts w:ascii="Arial" w:hAnsi="Arial" w:cs="Arial"/>
          <w:sz w:val="24"/>
          <w:szCs w:val="24"/>
        </w:rPr>
        <w:t xml:space="preserve"> </w:t>
      </w:r>
      <w:r w:rsidR="00D66931" w:rsidRPr="008872EF">
        <w:rPr>
          <w:rFonts w:ascii="Arial" w:hAnsi="Arial" w:cs="Arial"/>
          <w:sz w:val="24"/>
          <w:szCs w:val="24"/>
        </w:rPr>
        <w:t>a</w:t>
      </w:r>
      <w:r w:rsidR="00601B36" w:rsidRPr="008872EF">
        <w:rPr>
          <w:rFonts w:ascii="Arial" w:hAnsi="Arial" w:cs="Arial"/>
          <w:sz w:val="24"/>
          <w:szCs w:val="24"/>
        </w:rPr>
        <w:t xml:space="preserve"> </w:t>
      </w:r>
      <w:r w:rsidRPr="008872EF">
        <w:rPr>
          <w:rFonts w:ascii="Arial" w:hAnsi="Arial" w:cs="Arial"/>
          <w:sz w:val="24"/>
          <w:szCs w:val="24"/>
        </w:rPr>
        <w:t xml:space="preserve">management consultancy firm to conduct an </w:t>
      </w:r>
      <w:r w:rsidR="00601B36" w:rsidRPr="008872EF">
        <w:rPr>
          <w:rFonts w:ascii="Arial" w:hAnsi="Arial" w:cs="Arial"/>
          <w:sz w:val="24"/>
          <w:szCs w:val="24"/>
        </w:rPr>
        <w:t xml:space="preserve">independent </w:t>
      </w:r>
      <w:r w:rsidRPr="008872EF">
        <w:rPr>
          <w:rFonts w:ascii="Arial" w:hAnsi="Arial" w:cs="Arial"/>
          <w:sz w:val="24"/>
          <w:szCs w:val="24"/>
        </w:rPr>
        <w:t>audit of STH’s approach to equality, diversity and inclusion in 2021. As part of the independent audit, staff at all levels of the company were interviewed and a recommendations report was presented at Board. The actions arising from this work have been incorporated into the new EDI Strategy which was approved March 2022.</w:t>
      </w:r>
    </w:p>
    <w:p w14:paraId="5D9B8B58" w14:textId="77777777"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Developed a revised EDI Policy which was approved by Board in March 2022</w:t>
      </w:r>
    </w:p>
    <w:p w14:paraId="7A9C219B" w14:textId="08DE4761"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 xml:space="preserve">There is an underrepresentation of female </w:t>
      </w:r>
      <w:r w:rsidR="00601B36" w:rsidRPr="008872EF">
        <w:rPr>
          <w:rFonts w:ascii="Arial" w:hAnsi="Arial" w:cs="Arial"/>
          <w:sz w:val="24"/>
          <w:szCs w:val="24"/>
        </w:rPr>
        <w:t xml:space="preserve">employees </w:t>
      </w:r>
      <w:r w:rsidRPr="008872EF">
        <w:rPr>
          <w:rFonts w:ascii="Arial" w:hAnsi="Arial" w:cs="Arial"/>
          <w:sz w:val="24"/>
          <w:szCs w:val="24"/>
        </w:rPr>
        <w:t xml:space="preserve">amongst our trade teams. We pro-actively encourage women to consider this area of work as a career option. An example of how we do this is through social media. See this link about </w:t>
      </w:r>
      <w:hyperlink r:id="rId14" w:history="1">
        <w:r w:rsidRPr="008872EF">
          <w:rPr>
            <w:rStyle w:val="Hyperlink"/>
            <w:rFonts w:ascii="Arial" w:hAnsi="Arial" w:cs="Arial"/>
            <w:sz w:val="24"/>
            <w:szCs w:val="24"/>
          </w:rPr>
          <w:t>‘Introduce a girl to engineering day’</w:t>
        </w:r>
      </w:hyperlink>
      <w:r w:rsidR="00601B36" w:rsidRPr="008872EF">
        <w:rPr>
          <w:rFonts w:ascii="Arial" w:hAnsi="Arial" w:cs="Arial"/>
          <w:sz w:val="24"/>
          <w:szCs w:val="24"/>
        </w:rPr>
        <w:t xml:space="preserve">. </w:t>
      </w:r>
      <w:r w:rsidRPr="008872EF">
        <w:rPr>
          <w:rFonts w:ascii="Arial" w:hAnsi="Arial" w:cs="Arial"/>
          <w:sz w:val="24"/>
          <w:szCs w:val="24"/>
        </w:rPr>
        <w:t xml:space="preserve"> Also see this video about our </w:t>
      </w:r>
      <w:hyperlink r:id="rId15" w:history="1">
        <w:r w:rsidRPr="008872EF">
          <w:rPr>
            <w:rStyle w:val="Hyperlink"/>
            <w:rFonts w:ascii="Arial" w:hAnsi="Arial" w:cs="Arial"/>
            <w:sz w:val="24"/>
            <w:szCs w:val="24"/>
          </w:rPr>
          <w:t>apprentice recruitment</w:t>
        </w:r>
        <w:r w:rsidR="00601B36" w:rsidRPr="008872EF">
          <w:rPr>
            <w:rStyle w:val="Hyperlink"/>
            <w:rFonts w:ascii="Arial" w:hAnsi="Arial" w:cs="Arial"/>
            <w:sz w:val="24"/>
            <w:szCs w:val="24"/>
          </w:rPr>
          <w:t>.</w:t>
        </w:r>
      </w:hyperlink>
      <w:r w:rsidR="00601B36" w:rsidRPr="008872EF">
        <w:rPr>
          <w:rFonts w:ascii="Arial" w:hAnsi="Arial" w:cs="Arial"/>
          <w:sz w:val="24"/>
          <w:szCs w:val="24"/>
        </w:rPr>
        <w:t xml:space="preserve"> </w:t>
      </w:r>
    </w:p>
    <w:p w14:paraId="4E17F30C" w14:textId="40A12123" w:rsidR="00725BA8" w:rsidRPr="008872EF" w:rsidRDefault="00725BA8" w:rsidP="009D6B0C">
      <w:pPr>
        <w:pStyle w:val="ListParagraph"/>
        <w:numPr>
          <w:ilvl w:val="0"/>
          <w:numId w:val="6"/>
        </w:numPr>
        <w:ind w:right="1134"/>
        <w:rPr>
          <w:rFonts w:ascii="Arial" w:hAnsi="Arial" w:cs="Arial"/>
          <w:sz w:val="24"/>
          <w:szCs w:val="24"/>
        </w:rPr>
      </w:pPr>
      <w:r w:rsidRPr="008872EF">
        <w:rPr>
          <w:rFonts w:ascii="Arial" w:hAnsi="Arial" w:cs="Arial"/>
          <w:sz w:val="24"/>
          <w:szCs w:val="24"/>
        </w:rPr>
        <w:t>We have established a Social Enterprise offering traineeships to local people using our unique housing environment to create training and employment opportunities outside of our core business. Our programme delivers external contracts and offers a chargeable garden tidy service to all residents in South Tyneside allowing the Enterprise to be self-funded and contribute towards the organisation’s strategic goals. This year we led 13 people were trained, upskilled and employed through our Social Enterprise</w:t>
      </w:r>
      <w:r w:rsidR="009D6B0C">
        <w:rPr>
          <w:rFonts w:ascii="Arial" w:hAnsi="Arial" w:cs="Arial"/>
          <w:sz w:val="24"/>
          <w:szCs w:val="24"/>
        </w:rPr>
        <w:t>,</w:t>
      </w:r>
    </w:p>
    <w:p w14:paraId="7FC36349" w14:textId="77777777" w:rsidR="00725BA8" w:rsidRPr="008872EF" w:rsidRDefault="00725BA8" w:rsidP="009D6B0C">
      <w:pPr>
        <w:ind w:right="1134"/>
        <w:rPr>
          <w:rFonts w:cs="Arial"/>
          <w:sz w:val="24"/>
          <w:szCs w:val="24"/>
        </w:rPr>
      </w:pPr>
    </w:p>
    <w:p w14:paraId="1D778FCA" w14:textId="6144317D" w:rsidR="000333D5" w:rsidRPr="008872EF" w:rsidRDefault="000333D5" w:rsidP="009D6B0C">
      <w:pPr>
        <w:ind w:left="720" w:right="1134"/>
        <w:rPr>
          <w:rFonts w:cs="Arial"/>
          <w:sz w:val="24"/>
          <w:szCs w:val="24"/>
        </w:rPr>
      </w:pPr>
      <w:r w:rsidRPr="008872EF">
        <w:rPr>
          <w:rFonts w:cs="Arial"/>
          <w:sz w:val="24"/>
          <w:szCs w:val="24"/>
        </w:rPr>
        <w:t xml:space="preserve">The </w:t>
      </w:r>
      <w:r w:rsidR="00D44349" w:rsidRPr="008872EF">
        <w:rPr>
          <w:rFonts w:cs="Arial"/>
          <w:sz w:val="24"/>
          <w:szCs w:val="24"/>
        </w:rPr>
        <w:t>Company</w:t>
      </w:r>
      <w:r w:rsidRPr="008872EF">
        <w:rPr>
          <w:rFonts w:cs="Arial"/>
          <w:sz w:val="24"/>
          <w:szCs w:val="24"/>
        </w:rPr>
        <w:t xml:space="preserve"> is committed to </w:t>
      </w:r>
      <w:r w:rsidR="00180604" w:rsidRPr="008872EF">
        <w:rPr>
          <w:rFonts w:cs="Arial"/>
          <w:sz w:val="24"/>
          <w:szCs w:val="24"/>
        </w:rPr>
        <w:t>taking action to reduce the gender</w:t>
      </w:r>
      <w:r w:rsidRPr="008872EF">
        <w:rPr>
          <w:rFonts w:cs="Arial"/>
          <w:sz w:val="24"/>
          <w:szCs w:val="24"/>
        </w:rPr>
        <w:t xml:space="preserve"> p</w:t>
      </w:r>
      <w:r w:rsidR="00180604" w:rsidRPr="008872EF">
        <w:rPr>
          <w:rFonts w:cs="Arial"/>
          <w:sz w:val="24"/>
          <w:szCs w:val="24"/>
        </w:rPr>
        <w:t>ay gap</w:t>
      </w:r>
      <w:r w:rsidR="00C77D72" w:rsidRPr="008872EF">
        <w:rPr>
          <w:rFonts w:cs="Arial"/>
          <w:sz w:val="24"/>
          <w:szCs w:val="24"/>
        </w:rPr>
        <w:t xml:space="preserve"> however we recognise that we need to continue to take action and monitor our data</w:t>
      </w:r>
      <w:r w:rsidR="00671819" w:rsidRPr="008872EF">
        <w:rPr>
          <w:rFonts w:cs="Arial"/>
          <w:sz w:val="24"/>
          <w:szCs w:val="24"/>
        </w:rPr>
        <w:t xml:space="preserve"> as outlined below:</w:t>
      </w:r>
    </w:p>
    <w:p w14:paraId="34EE0740" w14:textId="2A98FEB7" w:rsidR="007E7453" w:rsidRPr="008872EF" w:rsidRDefault="007E7453" w:rsidP="009D6B0C">
      <w:pPr>
        <w:ind w:left="720" w:right="1134"/>
        <w:rPr>
          <w:rFonts w:cs="Arial"/>
          <w:color w:val="FF0000"/>
          <w:sz w:val="24"/>
          <w:szCs w:val="24"/>
        </w:rPr>
      </w:pPr>
    </w:p>
    <w:p w14:paraId="645AB0FF" w14:textId="3484F238"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Develop a Hybrid Working Policy - q1 22/23</w:t>
      </w:r>
    </w:p>
    <w:p w14:paraId="06450832" w14:textId="4B2341BF"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Actively promote the government childcare scheme to support staff to meet the costs of childcare - q2 22/23</w:t>
      </w:r>
    </w:p>
    <w:p w14:paraId="229E1734" w14:textId="754C8617" w:rsidR="00FE45D1" w:rsidRPr="008872EF" w:rsidRDefault="00FE45D1" w:rsidP="009D6B0C">
      <w:pPr>
        <w:pStyle w:val="ListParagraph"/>
        <w:numPr>
          <w:ilvl w:val="0"/>
          <w:numId w:val="7"/>
        </w:numPr>
        <w:ind w:right="1134"/>
        <w:rPr>
          <w:rFonts w:ascii="Arial" w:hAnsi="Arial" w:cs="Arial"/>
          <w:sz w:val="24"/>
          <w:szCs w:val="24"/>
        </w:rPr>
      </w:pPr>
      <w:r w:rsidRPr="008872EF">
        <w:rPr>
          <w:rFonts w:ascii="Arial" w:hAnsi="Arial" w:cs="Arial"/>
          <w:sz w:val="24"/>
          <w:szCs w:val="24"/>
        </w:rPr>
        <w:t>Appoint both an executive and Board sponsor for EDI – q2 22/23</w:t>
      </w:r>
    </w:p>
    <w:p w14:paraId="21582CAC" w14:textId="4D927DBB"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Develop procedures for collecting, updating and using workforce profiles and to consider ‘positive action measures’ for attracting and retaining diverse staff - q3 22/23</w:t>
      </w:r>
    </w:p>
    <w:p w14:paraId="07EE464E" w14:textId="41EC8F47" w:rsidR="00460580" w:rsidRPr="008872EF" w:rsidRDefault="00460580" w:rsidP="009D6B0C">
      <w:pPr>
        <w:pStyle w:val="ListParagraph"/>
        <w:numPr>
          <w:ilvl w:val="0"/>
          <w:numId w:val="7"/>
        </w:numPr>
        <w:ind w:right="1134"/>
        <w:rPr>
          <w:rFonts w:ascii="Arial" w:hAnsi="Arial" w:cs="Arial"/>
          <w:sz w:val="24"/>
          <w:szCs w:val="24"/>
        </w:rPr>
      </w:pPr>
      <w:r w:rsidRPr="008872EF">
        <w:rPr>
          <w:rFonts w:ascii="Arial" w:hAnsi="Arial" w:cs="Arial"/>
          <w:sz w:val="24"/>
          <w:szCs w:val="24"/>
        </w:rPr>
        <w:t>Establish EDI Inclusion Group chaired by executive level manager – q4 22/23</w:t>
      </w:r>
    </w:p>
    <w:p w14:paraId="4EB69967" w14:textId="06DDE959"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Review the flexible working policy (once the government legislation has been published) - q3 22/23</w:t>
      </w:r>
    </w:p>
    <w:p w14:paraId="4E27D2DE" w14:textId="626B0C79"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Promote the current policies available to support staff, including the Carers Policy, Menopause Policy and Domestic Abuse Policy - q3 22/23</w:t>
      </w:r>
    </w:p>
    <w:p w14:paraId="68D16F4E" w14:textId="0A4DBDCC"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lastRenderedPageBreak/>
        <w:t>Develop practical guidance and decision-making framework for managers on reasonable adjustments to support their staff - q4 22/23</w:t>
      </w:r>
    </w:p>
    <w:p w14:paraId="45A7E950" w14:textId="380B774E"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Revise the carers policy that recognises the needs of people; with diverse responsibilities such as caring for parents, children and people with disabilities - Q4 22/23</w:t>
      </w:r>
    </w:p>
    <w:p w14:paraId="55AE8411" w14:textId="28BBCF81"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Review the recruitment and selection policy to ensure our approach can attract the best candidates to vacancies and is inclusive - Q4 22/23</w:t>
      </w:r>
    </w:p>
    <w:p w14:paraId="230D707F" w14:textId="2D829BA5"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Establish whether more jobs could be advertised as open to flexible/part time/job share - Q4 22/23</w:t>
      </w:r>
    </w:p>
    <w:p w14:paraId="55A17654" w14:textId="0D88BBD6"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Carry out annual staff satisfaction survey broken down by protected characteristics - q4 22/23</w:t>
      </w:r>
    </w:p>
    <w:p w14:paraId="2E454537" w14:textId="519AB976"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Improved marketing of South Tyneside Homes as an employer of choice and to reach a higher number of potential employees, including those from diverse backgrounds - q4 23/24</w:t>
      </w:r>
    </w:p>
    <w:p w14:paraId="327D1A82" w14:textId="70323A59" w:rsidR="007E7453" w:rsidRPr="008872EF" w:rsidRDefault="007E7453" w:rsidP="009D6B0C">
      <w:pPr>
        <w:pStyle w:val="ListParagraph"/>
        <w:numPr>
          <w:ilvl w:val="0"/>
          <w:numId w:val="7"/>
        </w:numPr>
        <w:ind w:right="1134"/>
        <w:rPr>
          <w:rFonts w:ascii="Arial" w:hAnsi="Arial" w:cs="Arial"/>
          <w:sz w:val="24"/>
          <w:szCs w:val="24"/>
        </w:rPr>
      </w:pPr>
      <w:r w:rsidRPr="008872EF">
        <w:rPr>
          <w:rFonts w:ascii="Arial" w:hAnsi="Arial" w:cs="Arial"/>
          <w:sz w:val="24"/>
          <w:szCs w:val="24"/>
        </w:rPr>
        <w:t>Target apprentice recruitment to address underrepresentation in our staff profile - q4 23/24</w:t>
      </w:r>
    </w:p>
    <w:p w14:paraId="6BAECC9E" w14:textId="77777777" w:rsidR="00C64E26" w:rsidRPr="008872EF" w:rsidRDefault="00C64E26" w:rsidP="009D6B0C">
      <w:pPr>
        <w:ind w:right="1134"/>
        <w:rPr>
          <w:rFonts w:cs="Arial"/>
          <w:sz w:val="24"/>
          <w:szCs w:val="24"/>
          <w:highlight w:val="yellow"/>
        </w:rPr>
      </w:pPr>
    </w:p>
    <w:p w14:paraId="75F56794" w14:textId="482DBCC7" w:rsidR="00C64E26" w:rsidRDefault="00C64E26" w:rsidP="00D44441">
      <w:pPr>
        <w:ind w:left="709" w:right="1134"/>
        <w:rPr>
          <w:rFonts w:cs="Arial"/>
          <w:sz w:val="24"/>
          <w:szCs w:val="24"/>
        </w:rPr>
      </w:pPr>
      <w:r w:rsidRPr="008872EF">
        <w:rPr>
          <w:rFonts w:cs="Arial"/>
          <w:sz w:val="24"/>
          <w:szCs w:val="24"/>
        </w:rPr>
        <w:t xml:space="preserve">We have also begun considering thinking about actions beyond this year. You can read our full </w:t>
      </w:r>
      <w:hyperlink r:id="rId16" w:history="1">
        <w:r w:rsidRPr="008872EF">
          <w:rPr>
            <w:rStyle w:val="Hyperlink"/>
            <w:rFonts w:cs="Arial"/>
            <w:sz w:val="24"/>
            <w:szCs w:val="24"/>
          </w:rPr>
          <w:t>EDI Strategy here</w:t>
        </w:r>
      </w:hyperlink>
      <w:r w:rsidRPr="008872EF">
        <w:rPr>
          <w:rFonts w:cs="Arial"/>
          <w:sz w:val="24"/>
          <w:szCs w:val="24"/>
        </w:rPr>
        <w:t xml:space="preserve">. </w:t>
      </w:r>
    </w:p>
    <w:p w14:paraId="6613FE14" w14:textId="28072C72" w:rsidR="00D44441" w:rsidRDefault="00D44441" w:rsidP="009D6B0C">
      <w:pPr>
        <w:ind w:right="1134"/>
        <w:rPr>
          <w:rFonts w:cs="Arial"/>
          <w:sz w:val="24"/>
          <w:szCs w:val="24"/>
        </w:rPr>
      </w:pPr>
    </w:p>
    <w:p w14:paraId="3640C976" w14:textId="6E7D889C" w:rsidR="00D44441" w:rsidRDefault="00D44441" w:rsidP="009D6B0C">
      <w:pPr>
        <w:ind w:right="1134"/>
        <w:rPr>
          <w:rFonts w:cs="Arial"/>
          <w:sz w:val="24"/>
          <w:szCs w:val="24"/>
        </w:rPr>
      </w:pPr>
    </w:p>
    <w:p w14:paraId="60EEB338" w14:textId="7E5D3FEF" w:rsidR="00D44441" w:rsidRDefault="00D44441" w:rsidP="00D44441">
      <w:pPr>
        <w:tabs>
          <w:tab w:val="left" w:pos="567"/>
        </w:tabs>
        <w:ind w:left="709" w:right="1134"/>
        <w:rPr>
          <w:rFonts w:cs="Arial"/>
          <w:b/>
          <w:bCs/>
          <w:sz w:val="24"/>
          <w:szCs w:val="24"/>
        </w:rPr>
      </w:pPr>
      <w:r>
        <w:rPr>
          <w:rFonts w:cs="Arial"/>
          <w:b/>
          <w:bCs/>
          <w:sz w:val="24"/>
          <w:szCs w:val="24"/>
        </w:rPr>
        <w:t>Compar</w:t>
      </w:r>
      <w:r w:rsidR="00BB28AC">
        <w:rPr>
          <w:rFonts w:cs="Arial"/>
          <w:b/>
          <w:bCs/>
          <w:sz w:val="24"/>
          <w:szCs w:val="24"/>
        </w:rPr>
        <w:t>ator</w:t>
      </w:r>
      <w:r>
        <w:rPr>
          <w:rFonts w:cs="Arial"/>
          <w:b/>
          <w:bCs/>
          <w:sz w:val="24"/>
          <w:szCs w:val="24"/>
        </w:rPr>
        <w:t xml:space="preserve"> neighbouring employer</w:t>
      </w:r>
      <w:r w:rsidR="00BB28AC">
        <w:rPr>
          <w:rFonts w:cs="Arial"/>
          <w:b/>
          <w:bCs/>
          <w:sz w:val="24"/>
          <w:szCs w:val="24"/>
        </w:rPr>
        <w:t xml:space="preserve"> data (2021)</w:t>
      </w:r>
    </w:p>
    <w:p w14:paraId="1E6AB1D7" w14:textId="7E3547A3" w:rsidR="00D44441" w:rsidRDefault="00D44441" w:rsidP="00D44441">
      <w:pPr>
        <w:tabs>
          <w:tab w:val="left" w:pos="567"/>
        </w:tabs>
        <w:ind w:left="709" w:right="1134"/>
        <w:rPr>
          <w:rFonts w:cs="Arial"/>
          <w:b/>
          <w:bCs/>
          <w:sz w:val="24"/>
          <w:szCs w:val="24"/>
        </w:rPr>
      </w:pPr>
    </w:p>
    <w:p w14:paraId="5D0A43CE" w14:textId="0CB16AFC" w:rsidR="00D44441" w:rsidRDefault="00BB28AC" w:rsidP="00D44441">
      <w:pPr>
        <w:tabs>
          <w:tab w:val="left" w:pos="567"/>
        </w:tabs>
        <w:ind w:left="709" w:right="1134"/>
        <w:rPr>
          <w:rFonts w:cs="Arial"/>
          <w:sz w:val="24"/>
          <w:szCs w:val="24"/>
        </w:rPr>
      </w:pPr>
      <w:r>
        <w:rPr>
          <w:rFonts w:cs="Arial"/>
          <w:sz w:val="24"/>
          <w:szCs w:val="24"/>
        </w:rPr>
        <w:t>Research has been carried out on comparator employer data for 2021 (2022 data has not been published yet):</w:t>
      </w:r>
    </w:p>
    <w:p w14:paraId="206FC5DB" w14:textId="7B06361A" w:rsidR="00D44441" w:rsidRDefault="00D44441" w:rsidP="00D44441">
      <w:pPr>
        <w:tabs>
          <w:tab w:val="left" w:pos="567"/>
        </w:tabs>
        <w:ind w:left="709" w:right="1134"/>
        <w:rPr>
          <w:rFonts w:cs="Arial"/>
          <w:sz w:val="24"/>
          <w:szCs w:val="24"/>
        </w:rPr>
      </w:pPr>
    </w:p>
    <w:tbl>
      <w:tblPr>
        <w:tblStyle w:val="TableGrid"/>
        <w:tblW w:w="0" w:type="auto"/>
        <w:tblInd w:w="988" w:type="dxa"/>
        <w:tblLook w:val="04A0" w:firstRow="1" w:lastRow="0" w:firstColumn="1" w:lastColumn="0" w:noHBand="0" w:noVBand="1"/>
      </w:tblPr>
      <w:tblGrid>
        <w:gridCol w:w="2072"/>
        <w:gridCol w:w="1720"/>
        <w:gridCol w:w="1634"/>
        <w:gridCol w:w="1646"/>
        <w:gridCol w:w="1793"/>
      </w:tblGrid>
      <w:tr w:rsidR="00F51FD1" w:rsidRPr="00D44441" w14:paraId="7BF75EDB" w14:textId="77777777" w:rsidTr="00F51FD1">
        <w:tc>
          <w:tcPr>
            <w:tcW w:w="2072" w:type="dxa"/>
            <w:shd w:val="clear" w:color="auto" w:fill="D9D9D9" w:themeFill="background1" w:themeFillShade="D9"/>
          </w:tcPr>
          <w:p w14:paraId="125D58F4" w14:textId="352AEA3A" w:rsidR="00F51FD1" w:rsidRPr="00D44441" w:rsidRDefault="00F51FD1" w:rsidP="00D44441">
            <w:pPr>
              <w:tabs>
                <w:tab w:val="left" w:pos="173"/>
              </w:tabs>
              <w:jc w:val="center"/>
              <w:rPr>
                <w:rFonts w:cs="Arial"/>
                <w:sz w:val="22"/>
                <w:szCs w:val="22"/>
              </w:rPr>
            </w:pPr>
          </w:p>
        </w:tc>
        <w:tc>
          <w:tcPr>
            <w:tcW w:w="1720" w:type="dxa"/>
            <w:shd w:val="clear" w:color="auto" w:fill="D9D9D9" w:themeFill="background1" w:themeFillShade="D9"/>
          </w:tcPr>
          <w:p w14:paraId="222A47BB" w14:textId="7FBFD4D2" w:rsidR="00F51FD1" w:rsidRPr="00D44441" w:rsidRDefault="00F51FD1" w:rsidP="00D44441">
            <w:pPr>
              <w:tabs>
                <w:tab w:val="left" w:pos="173"/>
              </w:tabs>
              <w:jc w:val="center"/>
              <w:rPr>
                <w:rFonts w:cs="Arial"/>
                <w:b/>
                <w:bCs/>
                <w:sz w:val="22"/>
                <w:szCs w:val="22"/>
              </w:rPr>
            </w:pPr>
            <w:r w:rsidRPr="00D44441">
              <w:rPr>
                <w:rFonts w:cs="Arial"/>
                <w:b/>
                <w:bCs/>
                <w:sz w:val="22"/>
                <w:szCs w:val="22"/>
              </w:rPr>
              <w:t>Believe Housing</w:t>
            </w:r>
          </w:p>
        </w:tc>
        <w:tc>
          <w:tcPr>
            <w:tcW w:w="1634" w:type="dxa"/>
            <w:shd w:val="clear" w:color="auto" w:fill="D9D9D9" w:themeFill="background1" w:themeFillShade="D9"/>
          </w:tcPr>
          <w:p w14:paraId="4B0EA886" w14:textId="3A0625FF" w:rsidR="00F51FD1" w:rsidRPr="00D44441" w:rsidRDefault="00F51FD1" w:rsidP="00D44441">
            <w:pPr>
              <w:tabs>
                <w:tab w:val="left" w:pos="173"/>
              </w:tabs>
              <w:jc w:val="center"/>
              <w:rPr>
                <w:rFonts w:cs="Arial"/>
                <w:b/>
                <w:bCs/>
                <w:sz w:val="22"/>
                <w:szCs w:val="22"/>
              </w:rPr>
            </w:pPr>
            <w:r w:rsidRPr="00D44441">
              <w:rPr>
                <w:rFonts w:cs="Arial"/>
                <w:b/>
                <w:bCs/>
                <w:sz w:val="22"/>
                <w:szCs w:val="22"/>
              </w:rPr>
              <w:t>Karbon Homes</w:t>
            </w:r>
          </w:p>
        </w:tc>
        <w:tc>
          <w:tcPr>
            <w:tcW w:w="1646" w:type="dxa"/>
            <w:shd w:val="clear" w:color="auto" w:fill="D9D9D9" w:themeFill="background1" w:themeFillShade="D9"/>
          </w:tcPr>
          <w:p w14:paraId="0C64037C" w14:textId="4ECF3FC3" w:rsidR="00F51FD1" w:rsidRPr="00D44441" w:rsidRDefault="00F51FD1" w:rsidP="00D44441">
            <w:pPr>
              <w:tabs>
                <w:tab w:val="left" w:pos="173"/>
              </w:tabs>
              <w:jc w:val="center"/>
              <w:rPr>
                <w:rFonts w:cs="Arial"/>
                <w:b/>
                <w:bCs/>
                <w:sz w:val="22"/>
                <w:szCs w:val="22"/>
              </w:rPr>
            </w:pPr>
            <w:r w:rsidRPr="00D44441">
              <w:rPr>
                <w:rFonts w:cs="Arial"/>
                <w:b/>
                <w:bCs/>
                <w:sz w:val="22"/>
                <w:szCs w:val="22"/>
              </w:rPr>
              <w:t>Gentoo</w:t>
            </w:r>
          </w:p>
        </w:tc>
        <w:tc>
          <w:tcPr>
            <w:tcW w:w="1793" w:type="dxa"/>
            <w:shd w:val="clear" w:color="auto" w:fill="D9D9D9" w:themeFill="background1" w:themeFillShade="D9"/>
          </w:tcPr>
          <w:p w14:paraId="6921DB62" w14:textId="5DF34CFC" w:rsidR="00F51FD1" w:rsidRPr="00D44441" w:rsidRDefault="00F51FD1" w:rsidP="00D44441">
            <w:pPr>
              <w:tabs>
                <w:tab w:val="left" w:pos="173"/>
              </w:tabs>
              <w:jc w:val="center"/>
              <w:rPr>
                <w:rFonts w:cs="Arial"/>
                <w:b/>
                <w:bCs/>
                <w:sz w:val="22"/>
                <w:szCs w:val="22"/>
              </w:rPr>
            </w:pPr>
            <w:r w:rsidRPr="00D44441">
              <w:rPr>
                <w:rFonts w:cs="Arial"/>
                <w:b/>
                <w:bCs/>
                <w:sz w:val="22"/>
                <w:szCs w:val="22"/>
              </w:rPr>
              <w:t>South Tyneside Council</w:t>
            </w:r>
          </w:p>
        </w:tc>
      </w:tr>
      <w:tr w:rsidR="00F51FD1" w:rsidRPr="00D44441" w14:paraId="2656085B" w14:textId="77777777" w:rsidTr="00F51FD1">
        <w:tc>
          <w:tcPr>
            <w:tcW w:w="2072" w:type="dxa"/>
            <w:shd w:val="clear" w:color="auto" w:fill="D9D9D9" w:themeFill="background1" w:themeFillShade="D9"/>
          </w:tcPr>
          <w:p w14:paraId="51B4733E" w14:textId="77777777" w:rsidR="00F51FD1" w:rsidRPr="00D44441" w:rsidRDefault="00F51FD1" w:rsidP="00D44441">
            <w:pPr>
              <w:tabs>
                <w:tab w:val="left" w:pos="173"/>
              </w:tabs>
              <w:jc w:val="center"/>
              <w:rPr>
                <w:rFonts w:cs="Arial"/>
                <w:sz w:val="22"/>
                <w:szCs w:val="22"/>
              </w:rPr>
            </w:pPr>
          </w:p>
        </w:tc>
        <w:tc>
          <w:tcPr>
            <w:tcW w:w="1720" w:type="dxa"/>
            <w:shd w:val="clear" w:color="auto" w:fill="D9D9D9" w:themeFill="background1" w:themeFillShade="D9"/>
          </w:tcPr>
          <w:p w14:paraId="12B5FA47" w14:textId="6D8163AD" w:rsidR="00F51FD1" w:rsidRPr="00D44441" w:rsidRDefault="00F51FD1" w:rsidP="00D44441">
            <w:pPr>
              <w:tabs>
                <w:tab w:val="left" w:pos="173"/>
              </w:tabs>
              <w:jc w:val="center"/>
              <w:rPr>
                <w:rFonts w:cs="Arial"/>
                <w:i/>
                <w:iCs/>
                <w:szCs w:val="18"/>
              </w:rPr>
            </w:pPr>
            <w:r w:rsidRPr="00D44441">
              <w:rPr>
                <w:rFonts w:cs="Arial"/>
                <w:i/>
                <w:iCs/>
                <w:szCs w:val="18"/>
              </w:rPr>
              <w:t>Women’s earnings are:</w:t>
            </w:r>
          </w:p>
        </w:tc>
        <w:tc>
          <w:tcPr>
            <w:tcW w:w="1634" w:type="dxa"/>
            <w:shd w:val="clear" w:color="auto" w:fill="D9D9D9" w:themeFill="background1" w:themeFillShade="D9"/>
          </w:tcPr>
          <w:p w14:paraId="6A4F26B8" w14:textId="3E99E82B" w:rsidR="00F51FD1" w:rsidRPr="00D44441" w:rsidRDefault="00F51FD1" w:rsidP="00D44441">
            <w:pPr>
              <w:tabs>
                <w:tab w:val="left" w:pos="173"/>
              </w:tabs>
              <w:jc w:val="center"/>
              <w:rPr>
                <w:rFonts w:cs="Arial"/>
                <w:i/>
                <w:iCs/>
                <w:sz w:val="22"/>
                <w:szCs w:val="22"/>
              </w:rPr>
            </w:pPr>
            <w:r w:rsidRPr="00D44441">
              <w:rPr>
                <w:rFonts w:cs="Arial"/>
                <w:i/>
                <w:iCs/>
                <w:szCs w:val="18"/>
              </w:rPr>
              <w:t>Women’s earnings are:</w:t>
            </w:r>
          </w:p>
        </w:tc>
        <w:tc>
          <w:tcPr>
            <w:tcW w:w="1646" w:type="dxa"/>
            <w:shd w:val="clear" w:color="auto" w:fill="D9D9D9" w:themeFill="background1" w:themeFillShade="D9"/>
          </w:tcPr>
          <w:p w14:paraId="798D5222" w14:textId="3E59597C" w:rsidR="00F51FD1" w:rsidRPr="00D44441" w:rsidRDefault="00F51FD1" w:rsidP="00D44441">
            <w:pPr>
              <w:tabs>
                <w:tab w:val="left" w:pos="173"/>
              </w:tabs>
              <w:jc w:val="center"/>
              <w:rPr>
                <w:rFonts w:cs="Arial"/>
                <w:i/>
                <w:iCs/>
                <w:sz w:val="22"/>
                <w:szCs w:val="22"/>
              </w:rPr>
            </w:pPr>
            <w:r w:rsidRPr="00D44441">
              <w:rPr>
                <w:rFonts w:cs="Arial"/>
                <w:i/>
                <w:iCs/>
                <w:szCs w:val="18"/>
              </w:rPr>
              <w:t>Women’s earnings are:</w:t>
            </w:r>
          </w:p>
        </w:tc>
        <w:tc>
          <w:tcPr>
            <w:tcW w:w="1793" w:type="dxa"/>
            <w:shd w:val="clear" w:color="auto" w:fill="D9D9D9" w:themeFill="background1" w:themeFillShade="D9"/>
          </w:tcPr>
          <w:p w14:paraId="78AAD6CB" w14:textId="77777777" w:rsidR="00F51FD1" w:rsidRDefault="00F51FD1" w:rsidP="00D44441">
            <w:pPr>
              <w:tabs>
                <w:tab w:val="left" w:pos="173"/>
              </w:tabs>
              <w:jc w:val="center"/>
              <w:rPr>
                <w:rFonts w:cs="Arial"/>
                <w:i/>
                <w:iCs/>
                <w:szCs w:val="18"/>
              </w:rPr>
            </w:pPr>
            <w:r w:rsidRPr="00D44441">
              <w:rPr>
                <w:rFonts w:cs="Arial"/>
                <w:i/>
                <w:iCs/>
                <w:szCs w:val="18"/>
              </w:rPr>
              <w:t>Women’s earnings are:</w:t>
            </w:r>
          </w:p>
          <w:p w14:paraId="11B34B22" w14:textId="571FC3E4" w:rsidR="00F51FD1" w:rsidRPr="00D44441" w:rsidRDefault="00F51FD1" w:rsidP="00D44441">
            <w:pPr>
              <w:tabs>
                <w:tab w:val="left" w:pos="173"/>
              </w:tabs>
              <w:jc w:val="center"/>
              <w:rPr>
                <w:rFonts w:cs="Arial"/>
                <w:i/>
                <w:iCs/>
                <w:sz w:val="22"/>
                <w:szCs w:val="22"/>
              </w:rPr>
            </w:pPr>
          </w:p>
        </w:tc>
      </w:tr>
      <w:tr w:rsidR="00F51FD1" w:rsidRPr="00D44441" w14:paraId="3256DB17" w14:textId="77777777" w:rsidTr="00F51FD1">
        <w:tc>
          <w:tcPr>
            <w:tcW w:w="2072" w:type="dxa"/>
          </w:tcPr>
          <w:p w14:paraId="5BFEE4BA" w14:textId="2C3C2554" w:rsidR="00F51FD1" w:rsidRPr="00BB28AC" w:rsidRDefault="00F51FD1" w:rsidP="00D44441">
            <w:pPr>
              <w:tabs>
                <w:tab w:val="left" w:pos="567"/>
              </w:tabs>
              <w:spacing w:before="120" w:after="120"/>
              <w:rPr>
                <w:rFonts w:cs="Arial"/>
                <w:sz w:val="20"/>
              </w:rPr>
            </w:pPr>
            <w:r w:rsidRPr="00BB28AC">
              <w:rPr>
                <w:rFonts w:cs="Arial"/>
                <w:b/>
                <w:bCs/>
                <w:sz w:val="20"/>
              </w:rPr>
              <w:t>Mean gender pay gap in hourly pay - 2021</w:t>
            </w:r>
          </w:p>
        </w:tc>
        <w:tc>
          <w:tcPr>
            <w:tcW w:w="1720" w:type="dxa"/>
          </w:tcPr>
          <w:p w14:paraId="5C99A66F" w14:textId="01FCF1EA" w:rsidR="00F51FD1" w:rsidRPr="00D44441" w:rsidRDefault="00F51FD1" w:rsidP="00D44441">
            <w:pPr>
              <w:tabs>
                <w:tab w:val="left" w:pos="567"/>
              </w:tabs>
              <w:spacing w:before="120" w:after="120"/>
              <w:jc w:val="left"/>
              <w:rPr>
                <w:rFonts w:cs="Arial"/>
                <w:sz w:val="22"/>
                <w:szCs w:val="22"/>
              </w:rPr>
            </w:pPr>
            <w:r>
              <w:rPr>
                <w:rFonts w:cs="Arial"/>
                <w:sz w:val="22"/>
                <w:szCs w:val="22"/>
              </w:rPr>
              <w:t>5.3% lower</w:t>
            </w:r>
          </w:p>
        </w:tc>
        <w:tc>
          <w:tcPr>
            <w:tcW w:w="1634" w:type="dxa"/>
          </w:tcPr>
          <w:p w14:paraId="0D92DBA0" w14:textId="1BC725F8" w:rsidR="00F51FD1" w:rsidRPr="00D44441" w:rsidRDefault="00F51FD1" w:rsidP="00D44441">
            <w:pPr>
              <w:tabs>
                <w:tab w:val="left" w:pos="567"/>
              </w:tabs>
              <w:spacing w:before="120" w:after="120"/>
              <w:jc w:val="left"/>
              <w:rPr>
                <w:rFonts w:cs="Arial"/>
                <w:sz w:val="22"/>
                <w:szCs w:val="22"/>
              </w:rPr>
            </w:pPr>
            <w:r>
              <w:rPr>
                <w:rFonts w:cs="Arial"/>
                <w:sz w:val="22"/>
                <w:szCs w:val="22"/>
              </w:rPr>
              <w:t>2.9% lower</w:t>
            </w:r>
          </w:p>
        </w:tc>
        <w:tc>
          <w:tcPr>
            <w:tcW w:w="1646" w:type="dxa"/>
          </w:tcPr>
          <w:p w14:paraId="560040CC" w14:textId="48CA7E5C" w:rsidR="00F51FD1" w:rsidRPr="00D44441" w:rsidRDefault="00F51FD1" w:rsidP="00D44441">
            <w:pPr>
              <w:tabs>
                <w:tab w:val="left" w:pos="567"/>
              </w:tabs>
              <w:spacing w:before="120" w:after="120"/>
              <w:jc w:val="left"/>
              <w:rPr>
                <w:rFonts w:cs="Arial"/>
                <w:sz w:val="22"/>
                <w:szCs w:val="22"/>
              </w:rPr>
            </w:pPr>
            <w:r>
              <w:rPr>
                <w:rFonts w:cs="Arial"/>
                <w:sz w:val="22"/>
                <w:szCs w:val="22"/>
              </w:rPr>
              <w:t>8.3% lower</w:t>
            </w:r>
          </w:p>
        </w:tc>
        <w:tc>
          <w:tcPr>
            <w:tcW w:w="1793" w:type="dxa"/>
          </w:tcPr>
          <w:p w14:paraId="610EFDAA" w14:textId="0FB3714A" w:rsidR="00F51FD1" w:rsidRPr="00D44441" w:rsidRDefault="00F51FD1" w:rsidP="00D44441">
            <w:pPr>
              <w:tabs>
                <w:tab w:val="left" w:pos="567"/>
              </w:tabs>
              <w:spacing w:before="120" w:after="120"/>
              <w:jc w:val="left"/>
              <w:rPr>
                <w:rFonts w:cs="Arial"/>
                <w:sz w:val="22"/>
                <w:szCs w:val="22"/>
              </w:rPr>
            </w:pPr>
            <w:r>
              <w:rPr>
                <w:rFonts w:cs="Arial"/>
                <w:sz w:val="22"/>
                <w:szCs w:val="22"/>
              </w:rPr>
              <w:t>16.9% lower</w:t>
            </w:r>
          </w:p>
        </w:tc>
      </w:tr>
      <w:tr w:rsidR="00F51FD1" w:rsidRPr="00D44441" w14:paraId="506AA64F" w14:textId="77777777" w:rsidTr="00F51FD1">
        <w:tc>
          <w:tcPr>
            <w:tcW w:w="2072" w:type="dxa"/>
          </w:tcPr>
          <w:p w14:paraId="491FCA56" w14:textId="41C84C01" w:rsidR="00F51FD1" w:rsidRPr="00BB28AC" w:rsidRDefault="00F51FD1" w:rsidP="00D44441">
            <w:pPr>
              <w:tabs>
                <w:tab w:val="left" w:pos="567"/>
              </w:tabs>
              <w:spacing w:before="120" w:after="120"/>
              <w:rPr>
                <w:rFonts w:cs="Arial"/>
                <w:sz w:val="20"/>
              </w:rPr>
            </w:pPr>
            <w:r w:rsidRPr="00BB28AC">
              <w:rPr>
                <w:rFonts w:cs="Arial"/>
                <w:b/>
                <w:bCs/>
                <w:sz w:val="20"/>
              </w:rPr>
              <w:t>Median gender pay gap in hourly pay - 2021</w:t>
            </w:r>
          </w:p>
        </w:tc>
        <w:tc>
          <w:tcPr>
            <w:tcW w:w="1720" w:type="dxa"/>
          </w:tcPr>
          <w:p w14:paraId="63A21BEF" w14:textId="144B7E74" w:rsidR="00F51FD1" w:rsidRPr="00D44441" w:rsidRDefault="00F51FD1" w:rsidP="00D44441">
            <w:pPr>
              <w:tabs>
                <w:tab w:val="left" w:pos="567"/>
              </w:tabs>
              <w:spacing w:before="120" w:after="120"/>
              <w:jc w:val="left"/>
              <w:rPr>
                <w:rFonts w:cs="Arial"/>
                <w:sz w:val="22"/>
                <w:szCs w:val="22"/>
              </w:rPr>
            </w:pPr>
            <w:r>
              <w:rPr>
                <w:rFonts w:cs="Arial"/>
                <w:sz w:val="22"/>
                <w:szCs w:val="22"/>
              </w:rPr>
              <w:t>9.2% lower</w:t>
            </w:r>
          </w:p>
        </w:tc>
        <w:tc>
          <w:tcPr>
            <w:tcW w:w="1634" w:type="dxa"/>
          </w:tcPr>
          <w:p w14:paraId="5D167FBB" w14:textId="3172AA2E" w:rsidR="00F51FD1" w:rsidRPr="00D44441" w:rsidRDefault="00F51FD1" w:rsidP="00D44441">
            <w:pPr>
              <w:tabs>
                <w:tab w:val="left" w:pos="567"/>
              </w:tabs>
              <w:spacing w:before="120" w:after="120"/>
              <w:jc w:val="left"/>
              <w:rPr>
                <w:rFonts w:cs="Arial"/>
                <w:sz w:val="22"/>
                <w:szCs w:val="22"/>
              </w:rPr>
            </w:pPr>
            <w:r>
              <w:rPr>
                <w:rFonts w:cs="Arial"/>
                <w:sz w:val="22"/>
                <w:szCs w:val="22"/>
              </w:rPr>
              <w:t>3.7% lower</w:t>
            </w:r>
          </w:p>
        </w:tc>
        <w:tc>
          <w:tcPr>
            <w:tcW w:w="1646" w:type="dxa"/>
          </w:tcPr>
          <w:p w14:paraId="432F15F4" w14:textId="4ECF645A" w:rsidR="00F51FD1" w:rsidRPr="00D44441" w:rsidRDefault="00F51FD1" w:rsidP="00D44441">
            <w:pPr>
              <w:tabs>
                <w:tab w:val="left" w:pos="567"/>
              </w:tabs>
              <w:spacing w:before="120" w:after="120"/>
              <w:jc w:val="left"/>
              <w:rPr>
                <w:rFonts w:cs="Arial"/>
                <w:sz w:val="22"/>
                <w:szCs w:val="22"/>
              </w:rPr>
            </w:pPr>
            <w:r>
              <w:rPr>
                <w:rFonts w:cs="Arial"/>
                <w:sz w:val="22"/>
                <w:szCs w:val="22"/>
              </w:rPr>
              <w:t>9.4% lower</w:t>
            </w:r>
          </w:p>
        </w:tc>
        <w:tc>
          <w:tcPr>
            <w:tcW w:w="1793" w:type="dxa"/>
          </w:tcPr>
          <w:p w14:paraId="00EDCC59" w14:textId="5A967701" w:rsidR="00F51FD1" w:rsidRPr="00D44441" w:rsidRDefault="00F51FD1" w:rsidP="00D44441">
            <w:pPr>
              <w:tabs>
                <w:tab w:val="left" w:pos="567"/>
              </w:tabs>
              <w:spacing w:before="120" w:after="120"/>
              <w:jc w:val="left"/>
              <w:rPr>
                <w:rFonts w:cs="Arial"/>
                <w:sz w:val="22"/>
                <w:szCs w:val="22"/>
              </w:rPr>
            </w:pPr>
            <w:r>
              <w:rPr>
                <w:rFonts w:cs="Arial"/>
                <w:sz w:val="22"/>
                <w:szCs w:val="22"/>
              </w:rPr>
              <w:t>17.9% lower</w:t>
            </w:r>
          </w:p>
        </w:tc>
      </w:tr>
    </w:tbl>
    <w:p w14:paraId="38567197" w14:textId="0D61ED0A" w:rsidR="00D44441" w:rsidRDefault="00D44441" w:rsidP="00D44441">
      <w:pPr>
        <w:tabs>
          <w:tab w:val="left" w:pos="567"/>
        </w:tabs>
        <w:ind w:left="709" w:right="1134"/>
        <w:rPr>
          <w:rFonts w:cs="Arial"/>
          <w:sz w:val="24"/>
          <w:szCs w:val="24"/>
        </w:rPr>
      </w:pPr>
    </w:p>
    <w:p w14:paraId="00CF418C" w14:textId="1C780AC4" w:rsidR="00BB28AC" w:rsidRPr="00D44441" w:rsidRDefault="00BB28AC" w:rsidP="00D44441">
      <w:pPr>
        <w:tabs>
          <w:tab w:val="left" w:pos="567"/>
        </w:tabs>
        <w:ind w:left="709" w:right="1134"/>
        <w:rPr>
          <w:rFonts w:cs="Arial"/>
          <w:sz w:val="24"/>
          <w:szCs w:val="24"/>
        </w:rPr>
      </w:pPr>
      <w:r>
        <w:rPr>
          <w:rFonts w:cs="Arial"/>
          <w:sz w:val="24"/>
          <w:szCs w:val="24"/>
        </w:rPr>
        <w:t>Three comparator employers had a worse gender pay gap than South Tyneside Homes</w:t>
      </w:r>
      <w:r w:rsidR="00F51FD1">
        <w:rPr>
          <w:rFonts w:cs="Arial"/>
          <w:sz w:val="24"/>
          <w:szCs w:val="24"/>
        </w:rPr>
        <w:t xml:space="preserve"> and one</w:t>
      </w:r>
      <w:r>
        <w:rPr>
          <w:rFonts w:cs="Arial"/>
          <w:sz w:val="24"/>
          <w:szCs w:val="24"/>
        </w:rPr>
        <w:t xml:space="preserve"> had a lower gender pay gap</w:t>
      </w:r>
      <w:r w:rsidR="00F51FD1">
        <w:rPr>
          <w:rFonts w:cs="Arial"/>
          <w:sz w:val="24"/>
          <w:szCs w:val="24"/>
        </w:rPr>
        <w:t>.</w:t>
      </w:r>
    </w:p>
    <w:sectPr w:rsidR="00BB28AC" w:rsidRPr="00D44441" w:rsidSect="00D10784">
      <w:headerReference w:type="default" r:id="rId17"/>
      <w:headerReference w:type="first" r:id="rId18"/>
      <w:footerReference w:type="first" r:id="rId19"/>
      <w:pgSz w:w="11906" w:h="16838"/>
      <w:pgMar w:top="1440" w:right="140" w:bottom="1440" w:left="28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6BF6" w14:textId="77777777" w:rsidR="00275F09" w:rsidRDefault="00275F09" w:rsidP="000333D5">
      <w:r>
        <w:separator/>
      </w:r>
    </w:p>
  </w:endnote>
  <w:endnote w:type="continuationSeparator" w:id="0">
    <w:p w14:paraId="4BA98CC1" w14:textId="77777777" w:rsidR="00275F09" w:rsidRDefault="00275F09" w:rsidP="0003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421D" w14:textId="26129B31" w:rsidR="00D10784" w:rsidRDefault="00D10784">
    <w:pPr>
      <w:pStyle w:val="Footer"/>
      <w:jc w:val="right"/>
    </w:pPr>
  </w:p>
  <w:p w14:paraId="3AD8B3B2" w14:textId="77777777" w:rsidR="00D10784" w:rsidRDefault="00D1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1DBA" w14:textId="77777777" w:rsidR="00275F09" w:rsidRDefault="00275F09" w:rsidP="000333D5">
      <w:r>
        <w:separator/>
      </w:r>
    </w:p>
  </w:footnote>
  <w:footnote w:type="continuationSeparator" w:id="0">
    <w:p w14:paraId="60519E93" w14:textId="77777777" w:rsidR="00275F09" w:rsidRDefault="00275F09" w:rsidP="0003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59A1" w14:textId="535C7733" w:rsidR="00033745" w:rsidRDefault="00033745">
    <w:pPr>
      <w:pStyle w:val="Header"/>
    </w:pPr>
  </w:p>
  <w:p w14:paraId="3C423372" w14:textId="77777777" w:rsidR="00857B49" w:rsidRDefault="00857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A2E" w14:textId="77777777" w:rsidR="00D10784" w:rsidRDefault="00033745" w:rsidP="00033745">
    <w:pPr>
      <w:pStyle w:val="ListNumber"/>
      <w:numPr>
        <w:ilvl w:val="0"/>
        <w:numId w:val="0"/>
      </w:numPr>
      <w:tabs>
        <w:tab w:val="num" w:pos="900"/>
      </w:tabs>
      <w:spacing w:line="240" w:lineRule="auto"/>
      <w:ind w:left="851" w:hanging="709"/>
      <w:jc w:val="center"/>
    </w:pPr>
    <w:r>
      <w:rPr>
        <w:rFonts w:cs="Arial"/>
        <w:noProof/>
        <w:lang w:eastAsia="en-GB"/>
      </w:rPr>
      <w:drawing>
        <wp:inline distT="0" distB="0" distL="0" distR="0" wp14:anchorId="5E52E30C" wp14:editId="391E66AC">
          <wp:extent cx="1301750" cy="719560"/>
          <wp:effectExtent l="0" t="0" r="0" b="4445"/>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165" cy="724212"/>
                  </a:xfrm>
                  <a:prstGeom prst="rect">
                    <a:avLst/>
                  </a:prstGeom>
                  <a:noFill/>
                </pic:spPr>
              </pic:pic>
            </a:graphicData>
          </a:graphic>
        </wp:inline>
      </w:drawing>
    </w:r>
    <w:r>
      <w:tab/>
    </w:r>
  </w:p>
  <w:p w14:paraId="377951ED" w14:textId="77777777" w:rsidR="00D10784" w:rsidRDefault="00D10784" w:rsidP="00033745">
    <w:pPr>
      <w:pStyle w:val="ListNumber"/>
      <w:numPr>
        <w:ilvl w:val="0"/>
        <w:numId w:val="0"/>
      </w:numPr>
      <w:tabs>
        <w:tab w:val="num" w:pos="900"/>
      </w:tabs>
      <w:spacing w:line="240" w:lineRule="auto"/>
      <w:ind w:left="851" w:hanging="709"/>
      <w:jc w:val="center"/>
      <w:rPr>
        <w:rFonts w:cs="Arial"/>
        <w:b/>
        <w:sz w:val="28"/>
        <w:szCs w:val="28"/>
      </w:rPr>
    </w:pPr>
    <w:r w:rsidRPr="00D10784">
      <w:rPr>
        <w:b/>
        <w:bCs/>
        <w:sz w:val="28"/>
        <w:szCs w:val="28"/>
      </w:rPr>
      <w:t>Appendix 1 -</w:t>
    </w:r>
    <w:r>
      <w:rPr>
        <w:b/>
        <w:bCs/>
      </w:rPr>
      <w:t xml:space="preserve"> </w:t>
    </w:r>
    <w:r w:rsidR="00033745">
      <w:rPr>
        <w:rFonts w:cs="Arial"/>
        <w:b/>
        <w:sz w:val="28"/>
        <w:szCs w:val="28"/>
      </w:rPr>
      <w:t xml:space="preserve">South Tyneside Homes’ </w:t>
    </w:r>
    <w:r w:rsidR="00033745" w:rsidRPr="008872EF">
      <w:rPr>
        <w:rFonts w:cs="Arial"/>
        <w:b/>
        <w:sz w:val="28"/>
        <w:szCs w:val="28"/>
      </w:rPr>
      <w:t xml:space="preserve">Gender Pay Gap </w:t>
    </w:r>
  </w:p>
  <w:p w14:paraId="39E9E10D" w14:textId="53BA91D4" w:rsidR="00033745" w:rsidRPr="008872EF" w:rsidRDefault="00033745" w:rsidP="00033745">
    <w:pPr>
      <w:pStyle w:val="ListNumber"/>
      <w:numPr>
        <w:ilvl w:val="0"/>
        <w:numId w:val="0"/>
      </w:numPr>
      <w:tabs>
        <w:tab w:val="num" w:pos="900"/>
      </w:tabs>
      <w:spacing w:line="240" w:lineRule="auto"/>
      <w:ind w:left="851" w:hanging="709"/>
      <w:jc w:val="center"/>
      <w:rPr>
        <w:rFonts w:cs="Arial"/>
        <w:b/>
        <w:sz w:val="28"/>
        <w:szCs w:val="28"/>
      </w:rPr>
    </w:pPr>
    <w:r w:rsidRPr="008872EF">
      <w:rPr>
        <w:rFonts w:cs="Arial"/>
        <w:b/>
        <w:sz w:val="28"/>
        <w:szCs w:val="28"/>
      </w:rPr>
      <w:t>Data at 5</w:t>
    </w:r>
    <w:r w:rsidRPr="008872EF">
      <w:rPr>
        <w:rFonts w:cs="Arial"/>
        <w:b/>
        <w:sz w:val="28"/>
        <w:szCs w:val="28"/>
        <w:vertAlign w:val="superscript"/>
      </w:rPr>
      <w:t>th</w:t>
    </w:r>
    <w:r w:rsidRPr="008872EF">
      <w:rPr>
        <w:rFonts w:cs="Arial"/>
        <w:b/>
        <w:sz w:val="28"/>
        <w:szCs w:val="28"/>
      </w:rPr>
      <w:t xml:space="preserve"> April 2022</w:t>
    </w:r>
  </w:p>
  <w:p w14:paraId="799BA515" w14:textId="5C6B7A93" w:rsidR="00857B49" w:rsidRDefault="0085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545298"/>
    <w:lvl w:ilvl="0">
      <w:start w:val="1"/>
      <w:numFmt w:val="decimal"/>
      <w:pStyle w:val="ListNumber"/>
      <w:lvlText w:val="%1."/>
      <w:lvlJc w:val="left"/>
      <w:pPr>
        <w:tabs>
          <w:tab w:val="num" w:pos="360"/>
        </w:tabs>
        <w:ind w:left="360" w:hanging="360"/>
      </w:pPr>
    </w:lvl>
  </w:abstractNum>
  <w:abstractNum w:abstractNumId="1" w15:restartNumberingAfterBreak="0">
    <w:nsid w:val="1D462DBB"/>
    <w:multiLevelType w:val="hybridMultilevel"/>
    <w:tmpl w:val="2BFE1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78146E"/>
    <w:multiLevelType w:val="hybridMultilevel"/>
    <w:tmpl w:val="08609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864849"/>
    <w:multiLevelType w:val="hybridMultilevel"/>
    <w:tmpl w:val="ABA6A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952C21"/>
    <w:multiLevelType w:val="hybridMultilevel"/>
    <w:tmpl w:val="53348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2547F30"/>
    <w:multiLevelType w:val="hybridMultilevel"/>
    <w:tmpl w:val="68CA8F02"/>
    <w:lvl w:ilvl="0" w:tplc="08090001">
      <w:start w:val="1"/>
      <w:numFmt w:val="bullet"/>
      <w:lvlText w:val=""/>
      <w:lvlJc w:val="left"/>
      <w:pPr>
        <w:ind w:left="2814" w:hanging="360"/>
      </w:pPr>
      <w:rPr>
        <w:rFonts w:ascii="Symbol" w:hAnsi="Symbol" w:hint="default"/>
      </w:rPr>
    </w:lvl>
    <w:lvl w:ilvl="1" w:tplc="08090003" w:tentative="1">
      <w:start w:val="1"/>
      <w:numFmt w:val="bullet"/>
      <w:lvlText w:val="o"/>
      <w:lvlJc w:val="left"/>
      <w:pPr>
        <w:ind w:left="3534" w:hanging="360"/>
      </w:pPr>
      <w:rPr>
        <w:rFonts w:ascii="Courier New" w:hAnsi="Courier New" w:cs="Courier New" w:hint="default"/>
      </w:rPr>
    </w:lvl>
    <w:lvl w:ilvl="2" w:tplc="08090005" w:tentative="1">
      <w:start w:val="1"/>
      <w:numFmt w:val="bullet"/>
      <w:lvlText w:val=""/>
      <w:lvlJc w:val="left"/>
      <w:pPr>
        <w:ind w:left="4254" w:hanging="360"/>
      </w:pPr>
      <w:rPr>
        <w:rFonts w:ascii="Wingdings" w:hAnsi="Wingdings" w:hint="default"/>
      </w:rPr>
    </w:lvl>
    <w:lvl w:ilvl="3" w:tplc="08090001" w:tentative="1">
      <w:start w:val="1"/>
      <w:numFmt w:val="bullet"/>
      <w:lvlText w:val=""/>
      <w:lvlJc w:val="left"/>
      <w:pPr>
        <w:ind w:left="4974" w:hanging="360"/>
      </w:pPr>
      <w:rPr>
        <w:rFonts w:ascii="Symbol" w:hAnsi="Symbol" w:hint="default"/>
      </w:rPr>
    </w:lvl>
    <w:lvl w:ilvl="4" w:tplc="08090003" w:tentative="1">
      <w:start w:val="1"/>
      <w:numFmt w:val="bullet"/>
      <w:lvlText w:val="o"/>
      <w:lvlJc w:val="left"/>
      <w:pPr>
        <w:ind w:left="5694" w:hanging="360"/>
      </w:pPr>
      <w:rPr>
        <w:rFonts w:ascii="Courier New" w:hAnsi="Courier New" w:cs="Courier New" w:hint="default"/>
      </w:rPr>
    </w:lvl>
    <w:lvl w:ilvl="5" w:tplc="08090005" w:tentative="1">
      <w:start w:val="1"/>
      <w:numFmt w:val="bullet"/>
      <w:lvlText w:val=""/>
      <w:lvlJc w:val="left"/>
      <w:pPr>
        <w:ind w:left="6414" w:hanging="360"/>
      </w:pPr>
      <w:rPr>
        <w:rFonts w:ascii="Wingdings" w:hAnsi="Wingdings" w:hint="default"/>
      </w:rPr>
    </w:lvl>
    <w:lvl w:ilvl="6" w:tplc="08090001" w:tentative="1">
      <w:start w:val="1"/>
      <w:numFmt w:val="bullet"/>
      <w:lvlText w:val=""/>
      <w:lvlJc w:val="left"/>
      <w:pPr>
        <w:ind w:left="7134" w:hanging="360"/>
      </w:pPr>
      <w:rPr>
        <w:rFonts w:ascii="Symbol" w:hAnsi="Symbol" w:hint="default"/>
      </w:rPr>
    </w:lvl>
    <w:lvl w:ilvl="7" w:tplc="08090003" w:tentative="1">
      <w:start w:val="1"/>
      <w:numFmt w:val="bullet"/>
      <w:lvlText w:val="o"/>
      <w:lvlJc w:val="left"/>
      <w:pPr>
        <w:ind w:left="7854" w:hanging="360"/>
      </w:pPr>
      <w:rPr>
        <w:rFonts w:ascii="Courier New" w:hAnsi="Courier New" w:cs="Courier New" w:hint="default"/>
      </w:rPr>
    </w:lvl>
    <w:lvl w:ilvl="8" w:tplc="08090005" w:tentative="1">
      <w:start w:val="1"/>
      <w:numFmt w:val="bullet"/>
      <w:lvlText w:val=""/>
      <w:lvlJc w:val="left"/>
      <w:pPr>
        <w:ind w:left="8574" w:hanging="360"/>
      </w:pPr>
      <w:rPr>
        <w:rFonts w:ascii="Wingdings" w:hAnsi="Wingdings" w:hint="default"/>
      </w:rPr>
    </w:lvl>
  </w:abstractNum>
  <w:abstractNum w:abstractNumId="6" w15:restartNumberingAfterBreak="0">
    <w:nsid w:val="652D4E6B"/>
    <w:multiLevelType w:val="multilevel"/>
    <w:tmpl w:val="2BF4A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8562306">
    <w:abstractNumId w:val="0"/>
  </w:num>
  <w:num w:numId="2" w16cid:durableId="1690638651">
    <w:abstractNumId w:val="1"/>
  </w:num>
  <w:num w:numId="3" w16cid:durableId="519516345">
    <w:abstractNumId w:val="3"/>
  </w:num>
  <w:num w:numId="4" w16cid:durableId="20174650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7888660">
    <w:abstractNumId w:val="5"/>
  </w:num>
  <w:num w:numId="6" w16cid:durableId="55323668">
    <w:abstractNumId w:val="2"/>
  </w:num>
  <w:num w:numId="7" w16cid:durableId="2007200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D5"/>
    <w:rsid w:val="00010332"/>
    <w:rsid w:val="000333D5"/>
    <w:rsid w:val="00033745"/>
    <w:rsid w:val="0005140A"/>
    <w:rsid w:val="00084B0A"/>
    <w:rsid w:val="00095306"/>
    <w:rsid w:val="000A4A4C"/>
    <w:rsid w:val="000B30AC"/>
    <w:rsid w:val="000D1D81"/>
    <w:rsid w:val="00142933"/>
    <w:rsid w:val="00161486"/>
    <w:rsid w:val="00167832"/>
    <w:rsid w:val="00180604"/>
    <w:rsid w:val="001A0C52"/>
    <w:rsid w:val="001B401D"/>
    <w:rsid w:val="001B7809"/>
    <w:rsid w:val="001C06E9"/>
    <w:rsid w:val="001E0A4E"/>
    <w:rsid w:val="001E53AC"/>
    <w:rsid w:val="001E6670"/>
    <w:rsid w:val="001F3DFA"/>
    <w:rsid w:val="0021382D"/>
    <w:rsid w:val="00236F30"/>
    <w:rsid w:val="00244C39"/>
    <w:rsid w:val="00275F09"/>
    <w:rsid w:val="00281219"/>
    <w:rsid w:val="00292F07"/>
    <w:rsid w:val="002A2F00"/>
    <w:rsid w:val="002C03E8"/>
    <w:rsid w:val="002E5D27"/>
    <w:rsid w:val="00312472"/>
    <w:rsid w:val="0032102F"/>
    <w:rsid w:val="00396B45"/>
    <w:rsid w:val="00397437"/>
    <w:rsid w:val="003C4B4A"/>
    <w:rsid w:val="003C5551"/>
    <w:rsid w:val="00452160"/>
    <w:rsid w:val="00460580"/>
    <w:rsid w:val="004B0BD5"/>
    <w:rsid w:val="004B290D"/>
    <w:rsid w:val="004C2494"/>
    <w:rsid w:val="00543C4E"/>
    <w:rsid w:val="00590F21"/>
    <w:rsid w:val="005A5110"/>
    <w:rsid w:val="005A7122"/>
    <w:rsid w:val="005B5839"/>
    <w:rsid w:val="005D408E"/>
    <w:rsid w:val="005F2745"/>
    <w:rsid w:val="00601B36"/>
    <w:rsid w:val="0062034B"/>
    <w:rsid w:val="0063140F"/>
    <w:rsid w:val="00654D3E"/>
    <w:rsid w:val="00662E09"/>
    <w:rsid w:val="00664758"/>
    <w:rsid w:val="00671819"/>
    <w:rsid w:val="00677B6D"/>
    <w:rsid w:val="00687E44"/>
    <w:rsid w:val="006910AD"/>
    <w:rsid w:val="00697E32"/>
    <w:rsid w:val="006D621F"/>
    <w:rsid w:val="006D669C"/>
    <w:rsid w:val="006E5C16"/>
    <w:rsid w:val="006E62A8"/>
    <w:rsid w:val="006E6924"/>
    <w:rsid w:val="006F0854"/>
    <w:rsid w:val="00705CAE"/>
    <w:rsid w:val="00723DB2"/>
    <w:rsid w:val="00725BA8"/>
    <w:rsid w:val="00757CC1"/>
    <w:rsid w:val="0077414E"/>
    <w:rsid w:val="007B0BB0"/>
    <w:rsid w:val="007D1335"/>
    <w:rsid w:val="007D40A1"/>
    <w:rsid w:val="007E7453"/>
    <w:rsid w:val="00807F13"/>
    <w:rsid w:val="00830B3F"/>
    <w:rsid w:val="0083233B"/>
    <w:rsid w:val="0084291D"/>
    <w:rsid w:val="00851584"/>
    <w:rsid w:val="00857B49"/>
    <w:rsid w:val="00882536"/>
    <w:rsid w:val="008872EF"/>
    <w:rsid w:val="0089050B"/>
    <w:rsid w:val="00890B38"/>
    <w:rsid w:val="008C1032"/>
    <w:rsid w:val="009123EF"/>
    <w:rsid w:val="00926DDE"/>
    <w:rsid w:val="0094143C"/>
    <w:rsid w:val="0096363C"/>
    <w:rsid w:val="00986BC0"/>
    <w:rsid w:val="009D6B0C"/>
    <w:rsid w:val="00A10F39"/>
    <w:rsid w:val="00A3128D"/>
    <w:rsid w:val="00A553D3"/>
    <w:rsid w:val="00A60764"/>
    <w:rsid w:val="00A611D1"/>
    <w:rsid w:val="00A65B47"/>
    <w:rsid w:val="00A67578"/>
    <w:rsid w:val="00A878C2"/>
    <w:rsid w:val="00AA41A1"/>
    <w:rsid w:val="00B21BCA"/>
    <w:rsid w:val="00BB2091"/>
    <w:rsid w:val="00BB28AC"/>
    <w:rsid w:val="00BE1CC8"/>
    <w:rsid w:val="00BE1E2C"/>
    <w:rsid w:val="00C00961"/>
    <w:rsid w:val="00C50658"/>
    <w:rsid w:val="00C5224C"/>
    <w:rsid w:val="00C63569"/>
    <w:rsid w:val="00C64E26"/>
    <w:rsid w:val="00C75AE2"/>
    <w:rsid w:val="00C77D72"/>
    <w:rsid w:val="00C837EF"/>
    <w:rsid w:val="00C864D9"/>
    <w:rsid w:val="00C9098C"/>
    <w:rsid w:val="00CA7D6A"/>
    <w:rsid w:val="00CB61A9"/>
    <w:rsid w:val="00CC1BB2"/>
    <w:rsid w:val="00CC3F18"/>
    <w:rsid w:val="00CC7134"/>
    <w:rsid w:val="00CF2489"/>
    <w:rsid w:val="00D01745"/>
    <w:rsid w:val="00D10784"/>
    <w:rsid w:val="00D17ED7"/>
    <w:rsid w:val="00D43903"/>
    <w:rsid w:val="00D44349"/>
    <w:rsid w:val="00D44441"/>
    <w:rsid w:val="00D51338"/>
    <w:rsid w:val="00D54131"/>
    <w:rsid w:val="00D66931"/>
    <w:rsid w:val="00D8724F"/>
    <w:rsid w:val="00DA4CA7"/>
    <w:rsid w:val="00DD7A13"/>
    <w:rsid w:val="00DE3307"/>
    <w:rsid w:val="00DF113E"/>
    <w:rsid w:val="00DF3926"/>
    <w:rsid w:val="00DF44B2"/>
    <w:rsid w:val="00E272BF"/>
    <w:rsid w:val="00EB4B3D"/>
    <w:rsid w:val="00EE18B8"/>
    <w:rsid w:val="00F01D92"/>
    <w:rsid w:val="00F375C0"/>
    <w:rsid w:val="00F37BA1"/>
    <w:rsid w:val="00F40DD0"/>
    <w:rsid w:val="00F51FD1"/>
    <w:rsid w:val="00F67D9D"/>
    <w:rsid w:val="00FA0A88"/>
    <w:rsid w:val="00FC0853"/>
    <w:rsid w:val="00FD42D6"/>
    <w:rsid w:val="00FE45D1"/>
    <w:rsid w:val="00FF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22CE"/>
  <w15:docId w15:val="{40A51033-8996-45AA-9E4A-ED2B36BD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D5"/>
    <w:pPr>
      <w:jc w:val="both"/>
    </w:pPr>
    <w:rPr>
      <w:rFonts w:ascii="Arial" w:eastAsia="Times"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D5"/>
    <w:pPr>
      <w:tabs>
        <w:tab w:val="center" w:pos="4513"/>
        <w:tab w:val="right" w:pos="9026"/>
      </w:tabs>
    </w:pPr>
  </w:style>
  <w:style w:type="character" w:customStyle="1" w:styleId="HeaderChar">
    <w:name w:val="Header Char"/>
    <w:basedOn w:val="DefaultParagraphFont"/>
    <w:link w:val="Header"/>
    <w:uiPriority w:val="99"/>
    <w:rsid w:val="000333D5"/>
  </w:style>
  <w:style w:type="paragraph" w:styleId="Footer">
    <w:name w:val="footer"/>
    <w:basedOn w:val="Normal"/>
    <w:link w:val="FooterChar"/>
    <w:uiPriority w:val="99"/>
    <w:unhideWhenUsed/>
    <w:rsid w:val="000333D5"/>
    <w:pPr>
      <w:tabs>
        <w:tab w:val="center" w:pos="4513"/>
        <w:tab w:val="right" w:pos="9026"/>
      </w:tabs>
    </w:pPr>
  </w:style>
  <w:style w:type="character" w:customStyle="1" w:styleId="FooterChar">
    <w:name w:val="Footer Char"/>
    <w:basedOn w:val="DefaultParagraphFont"/>
    <w:link w:val="Footer"/>
    <w:uiPriority w:val="99"/>
    <w:rsid w:val="000333D5"/>
  </w:style>
  <w:style w:type="paragraph" w:styleId="ListNumber">
    <w:name w:val="List Number"/>
    <w:basedOn w:val="Normal"/>
    <w:semiHidden/>
    <w:rsid w:val="000333D5"/>
    <w:pPr>
      <w:numPr>
        <w:numId w:val="1"/>
      </w:numPr>
      <w:spacing w:line="360" w:lineRule="auto"/>
      <w:ind w:left="357" w:hanging="357"/>
    </w:pPr>
    <w:rPr>
      <w:sz w:val="24"/>
    </w:rPr>
  </w:style>
  <w:style w:type="paragraph" w:styleId="BalloonText">
    <w:name w:val="Balloon Text"/>
    <w:basedOn w:val="Normal"/>
    <w:link w:val="BalloonTextChar"/>
    <w:uiPriority w:val="99"/>
    <w:semiHidden/>
    <w:unhideWhenUsed/>
    <w:rsid w:val="000333D5"/>
    <w:rPr>
      <w:rFonts w:ascii="Tahoma" w:hAnsi="Tahoma" w:cs="Tahoma"/>
      <w:sz w:val="16"/>
      <w:szCs w:val="16"/>
    </w:rPr>
  </w:style>
  <w:style w:type="character" w:customStyle="1" w:styleId="BalloonTextChar">
    <w:name w:val="Balloon Text Char"/>
    <w:basedOn w:val="DefaultParagraphFont"/>
    <w:link w:val="BalloonText"/>
    <w:uiPriority w:val="99"/>
    <w:semiHidden/>
    <w:rsid w:val="000333D5"/>
    <w:rPr>
      <w:rFonts w:ascii="Tahoma" w:eastAsia="Times" w:hAnsi="Tahoma" w:cs="Tahoma"/>
      <w:sz w:val="16"/>
      <w:szCs w:val="16"/>
    </w:rPr>
  </w:style>
  <w:style w:type="character" w:styleId="Strong">
    <w:name w:val="Strong"/>
    <w:basedOn w:val="DefaultParagraphFont"/>
    <w:uiPriority w:val="22"/>
    <w:qFormat/>
    <w:rsid w:val="00C50658"/>
    <w:rPr>
      <w:b/>
      <w:bCs/>
    </w:rPr>
  </w:style>
  <w:style w:type="paragraph" w:customStyle="1" w:styleId="Default">
    <w:name w:val="Default"/>
    <w:rsid w:val="00C5065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10AD"/>
    <w:rPr>
      <w:sz w:val="16"/>
      <w:szCs w:val="16"/>
    </w:rPr>
  </w:style>
  <w:style w:type="paragraph" w:styleId="CommentText">
    <w:name w:val="annotation text"/>
    <w:basedOn w:val="Normal"/>
    <w:link w:val="CommentTextChar"/>
    <w:uiPriority w:val="99"/>
    <w:unhideWhenUsed/>
    <w:rsid w:val="006910AD"/>
    <w:rPr>
      <w:sz w:val="20"/>
    </w:rPr>
  </w:style>
  <w:style w:type="character" w:customStyle="1" w:styleId="CommentTextChar">
    <w:name w:val="Comment Text Char"/>
    <w:basedOn w:val="DefaultParagraphFont"/>
    <w:link w:val="CommentText"/>
    <w:uiPriority w:val="99"/>
    <w:rsid w:val="006910A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6910AD"/>
    <w:rPr>
      <w:b/>
      <w:bCs/>
    </w:rPr>
  </w:style>
  <w:style w:type="character" w:customStyle="1" w:styleId="CommentSubjectChar">
    <w:name w:val="Comment Subject Char"/>
    <w:basedOn w:val="CommentTextChar"/>
    <w:link w:val="CommentSubject"/>
    <w:uiPriority w:val="99"/>
    <w:semiHidden/>
    <w:rsid w:val="006910AD"/>
    <w:rPr>
      <w:rFonts w:ascii="Arial" w:eastAsia="Times" w:hAnsi="Arial" w:cs="Times New Roman"/>
      <w:b/>
      <w:bCs/>
      <w:sz w:val="20"/>
      <w:szCs w:val="20"/>
    </w:rPr>
  </w:style>
  <w:style w:type="paragraph" w:styleId="ListParagraph">
    <w:name w:val="List Paragraph"/>
    <w:basedOn w:val="Normal"/>
    <w:uiPriority w:val="34"/>
    <w:qFormat/>
    <w:rsid w:val="00236F30"/>
    <w:pPr>
      <w:ind w:left="720"/>
      <w:jc w:val="left"/>
    </w:pPr>
    <w:rPr>
      <w:rFonts w:ascii="Calibri" w:eastAsiaTheme="minorHAnsi" w:hAnsi="Calibri" w:cs="Calibri"/>
      <w:sz w:val="22"/>
      <w:szCs w:val="22"/>
    </w:rPr>
  </w:style>
  <w:style w:type="character" w:styleId="Hyperlink">
    <w:name w:val="Hyperlink"/>
    <w:basedOn w:val="DefaultParagraphFont"/>
    <w:uiPriority w:val="99"/>
    <w:unhideWhenUsed/>
    <w:rsid w:val="004C2494"/>
    <w:rPr>
      <w:color w:val="0563C1"/>
      <w:u w:val="single"/>
    </w:rPr>
  </w:style>
  <w:style w:type="character" w:styleId="UnresolvedMention">
    <w:name w:val="Unresolved Mention"/>
    <w:basedOn w:val="DefaultParagraphFont"/>
    <w:uiPriority w:val="99"/>
    <w:semiHidden/>
    <w:unhideWhenUsed/>
    <w:rsid w:val="00662E09"/>
    <w:rPr>
      <w:color w:val="605E5C"/>
      <w:shd w:val="clear" w:color="auto" w:fill="E1DFDD"/>
    </w:rPr>
  </w:style>
  <w:style w:type="table" w:styleId="TableGrid">
    <w:name w:val="Table Grid"/>
    <w:basedOn w:val="TableNormal"/>
    <w:uiPriority w:val="59"/>
    <w:rsid w:val="00A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1591">
      <w:bodyDiv w:val="1"/>
      <w:marLeft w:val="0"/>
      <w:marRight w:val="0"/>
      <w:marTop w:val="0"/>
      <w:marBottom w:val="0"/>
      <w:divBdr>
        <w:top w:val="none" w:sz="0" w:space="0" w:color="auto"/>
        <w:left w:val="none" w:sz="0" w:space="0" w:color="auto"/>
        <w:bottom w:val="none" w:sz="0" w:space="0" w:color="auto"/>
        <w:right w:val="none" w:sz="0" w:space="0" w:color="auto"/>
      </w:divBdr>
    </w:div>
    <w:div w:id="510804005">
      <w:bodyDiv w:val="1"/>
      <w:marLeft w:val="0"/>
      <w:marRight w:val="0"/>
      <w:marTop w:val="0"/>
      <w:marBottom w:val="0"/>
      <w:divBdr>
        <w:top w:val="none" w:sz="0" w:space="0" w:color="auto"/>
        <w:left w:val="none" w:sz="0" w:space="0" w:color="auto"/>
        <w:bottom w:val="none" w:sz="0" w:space="0" w:color="auto"/>
        <w:right w:val="none" w:sz="0" w:space="0" w:color="auto"/>
      </w:divBdr>
    </w:div>
    <w:div w:id="582838893">
      <w:bodyDiv w:val="1"/>
      <w:marLeft w:val="0"/>
      <w:marRight w:val="0"/>
      <w:marTop w:val="0"/>
      <w:marBottom w:val="0"/>
      <w:divBdr>
        <w:top w:val="none" w:sz="0" w:space="0" w:color="auto"/>
        <w:left w:val="none" w:sz="0" w:space="0" w:color="auto"/>
        <w:bottom w:val="none" w:sz="0" w:space="0" w:color="auto"/>
        <w:right w:val="none" w:sz="0" w:space="0" w:color="auto"/>
      </w:divBdr>
    </w:div>
    <w:div w:id="619147558">
      <w:bodyDiv w:val="1"/>
      <w:marLeft w:val="0"/>
      <w:marRight w:val="0"/>
      <w:marTop w:val="0"/>
      <w:marBottom w:val="0"/>
      <w:divBdr>
        <w:top w:val="none" w:sz="0" w:space="0" w:color="auto"/>
        <w:left w:val="none" w:sz="0" w:space="0" w:color="auto"/>
        <w:bottom w:val="none" w:sz="0" w:space="0" w:color="auto"/>
        <w:right w:val="none" w:sz="0" w:space="0" w:color="auto"/>
      </w:divBdr>
    </w:div>
    <w:div w:id="778065438">
      <w:bodyDiv w:val="1"/>
      <w:marLeft w:val="0"/>
      <w:marRight w:val="0"/>
      <w:marTop w:val="0"/>
      <w:marBottom w:val="0"/>
      <w:divBdr>
        <w:top w:val="none" w:sz="0" w:space="0" w:color="auto"/>
        <w:left w:val="none" w:sz="0" w:space="0" w:color="auto"/>
        <w:bottom w:val="none" w:sz="0" w:space="0" w:color="auto"/>
        <w:right w:val="none" w:sz="0" w:space="0" w:color="auto"/>
      </w:divBdr>
    </w:div>
    <w:div w:id="1242136035">
      <w:bodyDiv w:val="1"/>
      <w:marLeft w:val="0"/>
      <w:marRight w:val="0"/>
      <w:marTop w:val="0"/>
      <w:marBottom w:val="0"/>
      <w:divBdr>
        <w:top w:val="none" w:sz="0" w:space="0" w:color="auto"/>
        <w:left w:val="none" w:sz="0" w:space="0" w:color="auto"/>
        <w:bottom w:val="none" w:sz="0" w:space="0" w:color="auto"/>
        <w:right w:val="none" w:sz="0" w:space="0" w:color="auto"/>
      </w:divBdr>
    </w:div>
    <w:div w:id="1476145994">
      <w:bodyDiv w:val="1"/>
      <w:marLeft w:val="0"/>
      <w:marRight w:val="0"/>
      <w:marTop w:val="0"/>
      <w:marBottom w:val="0"/>
      <w:divBdr>
        <w:top w:val="none" w:sz="0" w:space="0" w:color="auto"/>
        <w:left w:val="none" w:sz="0" w:space="0" w:color="auto"/>
        <w:bottom w:val="none" w:sz="0" w:space="0" w:color="auto"/>
        <w:right w:val="none" w:sz="0" w:space="0" w:color="auto"/>
      </w:divBdr>
    </w:div>
    <w:div w:id="1666393343">
      <w:bodyDiv w:val="1"/>
      <w:marLeft w:val="0"/>
      <w:marRight w:val="0"/>
      <w:marTop w:val="0"/>
      <w:marBottom w:val="0"/>
      <w:divBdr>
        <w:top w:val="none" w:sz="0" w:space="0" w:color="auto"/>
        <w:left w:val="none" w:sz="0" w:space="0" w:color="auto"/>
        <w:bottom w:val="none" w:sz="0" w:space="0" w:color="auto"/>
        <w:right w:val="none" w:sz="0" w:space="0" w:color="auto"/>
      </w:divBdr>
    </w:div>
    <w:div w:id="1841508017">
      <w:bodyDiv w:val="1"/>
      <w:marLeft w:val="0"/>
      <w:marRight w:val="0"/>
      <w:marTop w:val="0"/>
      <w:marBottom w:val="0"/>
      <w:divBdr>
        <w:top w:val="none" w:sz="0" w:space="0" w:color="auto"/>
        <w:left w:val="none" w:sz="0" w:space="0" w:color="auto"/>
        <w:bottom w:val="none" w:sz="0" w:space="0" w:color="auto"/>
        <w:right w:val="none" w:sz="0" w:space="0" w:color="auto"/>
      </w:divBdr>
    </w:div>
    <w:div w:id="21396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basecamp.com/3453548/buckets/1104667/documents/5774668956" TargetMode="Externa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3.basecamp.com/3453548/buckets/1104667/documents/57746689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facebook.com/watch/?v=3114590728856973"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3.basecamp.com/3453548/buckets/1104667/documents/5774686656" TargetMode="External"/><Relationship Id="rId14" Type="http://schemas.openxmlformats.org/officeDocument/2006/relationships/hyperlink" Target="https://www.facebook.com/photo.php?fbid=320134033491533&amp;set=pb.100064848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Lower</a:t>
            </a:r>
          </a:p>
        </c:rich>
      </c:tx>
      <c:overlay val="0"/>
    </c:title>
    <c:autoTitleDeleted val="0"/>
    <c:plotArea>
      <c:layout/>
      <c:pieChart>
        <c:varyColors val="1"/>
        <c:ser>
          <c:idx val="0"/>
          <c:order val="0"/>
          <c:tx>
            <c:strRef>
              <c:f>Sheet1!$A$4</c:f>
              <c:strCache>
                <c:ptCount val="1"/>
                <c:pt idx="0">
                  <c:v>Lower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Sheet1!$B$3:$C$3</c:f>
              <c:strCache>
                <c:ptCount val="2"/>
                <c:pt idx="0">
                  <c:v>Male</c:v>
                </c:pt>
                <c:pt idx="1">
                  <c:v>Female</c:v>
                </c:pt>
              </c:strCache>
            </c:strRef>
          </c:cat>
          <c:val>
            <c:numRef>
              <c:f>Sheet1!$B$4:$C$4</c:f>
              <c:numCache>
                <c:formatCode>0</c:formatCode>
                <c:ptCount val="2"/>
                <c:pt idx="0">
                  <c:v>72</c:v>
                </c:pt>
                <c:pt idx="1">
                  <c:v>28</c:v>
                </c:pt>
              </c:numCache>
            </c:numRef>
          </c:val>
          <c:extLst>
            <c:ext xmlns:c16="http://schemas.microsoft.com/office/drawing/2014/chart" uri="{C3380CC4-5D6E-409C-BE32-E72D297353CC}">
              <c16:uniqueId val="{00000000-A747-4353-A7C2-89172C958A44}"/>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Lower middle</a:t>
            </a:r>
          </a:p>
        </c:rich>
      </c:tx>
      <c:overlay val="0"/>
    </c:title>
    <c:autoTitleDeleted val="0"/>
    <c:plotArea>
      <c:layout/>
      <c:pieChart>
        <c:varyColors val="1"/>
        <c:ser>
          <c:idx val="0"/>
          <c:order val="0"/>
          <c:tx>
            <c:strRef>
              <c:f>Sheet1!$A$5</c:f>
              <c:strCache>
                <c:ptCount val="1"/>
                <c:pt idx="0">
                  <c:v>Lower middle</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FA-44D4-BF29-DD13B12C949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FA-44D4-BF29-DD13B12C949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val>
            <c:numRef>
              <c:f>Sheet1!$B$5:$C$5</c:f>
              <c:numCache>
                <c:formatCode>0</c:formatCode>
                <c:ptCount val="2"/>
                <c:pt idx="0">
                  <c:v>66</c:v>
                </c:pt>
                <c:pt idx="1">
                  <c:v>34</c:v>
                </c:pt>
              </c:numCache>
            </c:numRef>
          </c:val>
          <c:extLst>
            <c:ext xmlns:c16="http://schemas.microsoft.com/office/drawing/2014/chart" uri="{C3380CC4-5D6E-409C-BE32-E72D297353CC}">
              <c16:uniqueId val="{00000002-EFFA-44D4-BF29-DD13B12C9493}"/>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Upper middle</a:t>
            </a:r>
          </a:p>
        </c:rich>
      </c:tx>
      <c:overlay val="0"/>
    </c:title>
    <c:autoTitleDeleted val="0"/>
    <c:plotArea>
      <c:layout/>
      <c:pieChart>
        <c:varyColors val="1"/>
        <c:ser>
          <c:idx val="0"/>
          <c:order val="0"/>
          <c:tx>
            <c:strRef>
              <c:f>Sheet1!$A$6</c:f>
              <c:strCache>
                <c:ptCount val="1"/>
                <c:pt idx="0">
                  <c:v>Upper middle</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val>
            <c:numRef>
              <c:f>Sheet1!$B$6:$C$6</c:f>
              <c:numCache>
                <c:formatCode>0</c:formatCode>
                <c:ptCount val="2"/>
                <c:pt idx="0">
                  <c:v>66</c:v>
                </c:pt>
                <c:pt idx="1">
                  <c:v>34</c:v>
                </c:pt>
              </c:numCache>
            </c:numRef>
          </c:val>
          <c:extLst>
            <c:ext xmlns:c16="http://schemas.microsoft.com/office/drawing/2014/chart" uri="{C3380CC4-5D6E-409C-BE32-E72D297353CC}">
              <c16:uniqueId val="{00000000-EFC4-4537-8660-E782A031B7EE}"/>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Upper</a:t>
            </a:r>
          </a:p>
        </c:rich>
      </c:tx>
      <c:overlay val="0"/>
    </c:title>
    <c:autoTitleDeleted val="0"/>
    <c:plotArea>
      <c:layout/>
      <c:pieChart>
        <c:varyColors val="1"/>
        <c:ser>
          <c:idx val="0"/>
          <c:order val="0"/>
          <c:tx>
            <c:strRef>
              <c:f>Sheet1!$A$7</c:f>
              <c:strCache>
                <c:ptCount val="1"/>
                <c:pt idx="0">
                  <c:v>Upper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val>
            <c:numRef>
              <c:f>Sheet1!$B$7:$C$7</c:f>
              <c:numCache>
                <c:formatCode>0</c:formatCode>
                <c:ptCount val="2"/>
                <c:pt idx="0">
                  <c:v>80</c:v>
                </c:pt>
                <c:pt idx="1">
                  <c:v>20</c:v>
                </c:pt>
              </c:numCache>
            </c:numRef>
          </c:val>
          <c:extLst>
            <c:ext xmlns:c16="http://schemas.microsoft.com/office/drawing/2014/chart" uri="{C3380CC4-5D6E-409C-BE32-E72D297353CC}">
              <c16:uniqueId val="{00000000-24D5-4648-8F7C-0C15448B786F}"/>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78D8-9652-4E4A-86CD-F6D6A0B3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Manns</dc:creator>
  <cp:lastModifiedBy>Dorothy Richardson</cp:lastModifiedBy>
  <cp:revision>14</cp:revision>
  <cp:lastPrinted>2018-02-19T15:08:00Z</cp:lastPrinted>
  <dcterms:created xsi:type="dcterms:W3CDTF">2023-01-16T11:07:00Z</dcterms:created>
  <dcterms:modified xsi:type="dcterms:W3CDTF">2023-01-27T13:24:00Z</dcterms:modified>
</cp:coreProperties>
</file>