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BE32D" w14:textId="180736CE" w:rsidR="0081584A" w:rsidRDefault="004B4BB6" w:rsidP="00A03E4C">
      <w:pPr>
        <w:rPr>
          <w:rFonts w:ascii="Arial" w:hAnsi="Arial" w:cs="Arial"/>
          <w:noProof/>
          <w:lang w:eastAsia="en-GB"/>
        </w:rPr>
      </w:pPr>
      <w:r w:rsidRPr="001F7372">
        <w:rPr>
          <w:rFonts w:ascii="Arial" w:hAnsi="Arial" w:cs="Arial"/>
          <w:noProof/>
          <w:lang w:eastAsia="en-GB"/>
        </w:rPr>
        <w:drawing>
          <wp:inline distT="0" distB="0" distL="0" distR="0" wp14:anchorId="3A65318E" wp14:editId="2AAD85FE">
            <wp:extent cx="2933700" cy="1619956"/>
            <wp:effectExtent l="0" t="0" r="0" b="0"/>
            <wp:docPr id="1713329962" name="Picture 1" descr="New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Strapli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45457" cy="1626448"/>
                    </a:xfrm>
                    <a:prstGeom prst="rect">
                      <a:avLst/>
                    </a:prstGeom>
                    <a:noFill/>
                    <a:ln>
                      <a:noFill/>
                    </a:ln>
                  </pic:spPr>
                </pic:pic>
              </a:graphicData>
            </a:graphic>
          </wp:inline>
        </w:drawing>
      </w:r>
    </w:p>
    <w:p w14:paraId="1BF51000" w14:textId="77777777" w:rsidR="004B4BB6" w:rsidRPr="004B4BB6" w:rsidRDefault="004B4BB6" w:rsidP="004B4BB6"/>
    <w:p w14:paraId="21EC4C78" w14:textId="77777777" w:rsidR="004B4BB6" w:rsidRDefault="004B4BB6" w:rsidP="004B4BB6">
      <w:pPr>
        <w:rPr>
          <w:rFonts w:ascii="Arial" w:hAnsi="Arial" w:cs="Arial"/>
          <w:noProof/>
          <w:lang w:eastAsia="en-GB"/>
        </w:rPr>
      </w:pPr>
    </w:p>
    <w:p w14:paraId="4F231414" w14:textId="77777777" w:rsidR="004B4BB6" w:rsidRDefault="004B4BB6" w:rsidP="004B4BB6">
      <w:pPr>
        <w:rPr>
          <w:rFonts w:ascii="Arial" w:hAnsi="Arial" w:cs="Arial"/>
          <w:noProof/>
          <w:lang w:eastAsia="en-GB"/>
        </w:rPr>
      </w:pPr>
    </w:p>
    <w:p w14:paraId="10A89939" w14:textId="77777777" w:rsidR="00B53142" w:rsidRDefault="00B53142" w:rsidP="004B4BB6">
      <w:pPr>
        <w:tabs>
          <w:tab w:val="left" w:pos="3390"/>
        </w:tabs>
        <w:jc w:val="center"/>
        <w:rPr>
          <w:rFonts w:asciiTheme="majorHAnsi" w:hAnsiTheme="majorHAnsi"/>
          <w:b/>
          <w:bCs/>
          <w:sz w:val="72"/>
          <w:szCs w:val="72"/>
        </w:rPr>
      </w:pPr>
    </w:p>
    <w:p w14:paraId="40C17624" w14:textId="79857A0F" w:rsidR="004B4BB6" w:rsidRPr="00730179" w:rsidRDefault="004B4BB6" w:rsidP="00A03E4C">
      <w:pPr>
        <w:tabs>
          <w:tab w:val="left" w:pos="3390"/>
        </w:tabs>
        <w:rPr>
          <w:rFonts w:asciiTheme="majorHAnsi" w:hAnsiTheme="majorHAnsi"/>
          <w:b/>
          <w:bCs/>
          <w:sz w:val="72"/>
          <w:szCs w:val="72"/>
        </w:rPr>
      </w:pPr>
      <w:r w:rsidRPr="00730179">
        <w:rPr>
          <w:rFonts w:asciiTheme="majorHAnsi" w:hAnsiTheme="majorHAnsi"/>
          <w:b/>
          <w:bCs/>
          <w:sz w:val="72"/>
          <w:szCs w:val="72"/>
        </w:rPr>
        <w:t>Annual Complaints Performance and Service Improvement Report 2023/2024</w:t>
      </w:r>
    </w:p>
    <w:p w14:paraId="0288D665" w14:textId="77777777" w:rsidR="004B4BB6" w:rsidRDefault="004B4BB6">
      <w:pPr>
        <w:rPr>
          <w:b/>
          <w:bCs/>
          <w:sz w:val="72"/>
          <w:szCs w:val="72"/>
        </w:rPr>
      </w:pPr>
      <w:r>
        <w:rPr>
          <w:b/>
          <w:bCs/>
          <w:sz w:val="72"/>
          <w:szCs w:val="72"/>
        </w:rPr>
        <w:br w:type="page"/>
      </w:r>
    </w:p>
    <w:p w14:paraId="000AADEC" w14:textId="0EC85BBD" w:rsidR="001742D4" w:rsidRDefault="001742D4" w:rsidP="001742D4">
      <w:pPr>
        <w:rPr>
          <w:rFonts w:asciiTheme="majorHAnsi" w:hAnsiTheme="majorHAnsi"/>
          <w:b/>
          <w:bCs/>
          <w:sz w:val="36"/>
          <w:szCs w:val="36"/>
        </w:rPr>
      </w:pPr>
      <w:r>
        <w:rPr>
          <w:rFonts w:asciiTheme="majorHAnsi" w:hAnsiTheme="majorHAnsi"/>
          <w:b/>
          <w:bCs/>
          <w:sz w:val="36"/>
          <w:szCs w:val="36"/>
        </w:rPr>
        <w:lastRenderedPageBreak/>
        <w:t>Foreword</w:t>
      </w:r>
    </w:p>
    <w:p w14:paraId="57798C27" w14:textId="77777777" w:rsidR="007B0187" w:rsidRDefault="007B0187" w:rsidP="00EA4334">
      <w:pPr>
        <w:pStyle w:val="NoSpacing"/>
        <w:rPr>
          <w:shd w:val="clear" w:color="auto" w:fill="FFFFFF"/>
        </w:rPr>
      </w:pPr>
    </w:p>
    <w:p w14:paraId="591B1A49" w14:textId="4F61013E" w:rsidR="001742D4" w:rsidRPr="001742D4" w:rsidRDefault="001742D4" w:rsidP="001742D4">
      <w:pPr>
        <w:jc w:val="both"/>
        <w:rPr>
          <w:i/>
          <w:iCs/>
          <w:color w:val="333333"/>
          <w:sz w:val="24"/>
          <w:szCs w:val="24"/>
          <w:shd w:val="clear" w:color="auto" w:fill="FFFFFF"/>
        </w:rPr>
      </w:pPr>
      <w:r w:rsidRPr="001742D4">
        <w:rPr>
          <w:i/>
          <w:iCs/>
          <w:color w:val="333333"/>
          <w:sz w:val="24"/>
          <w:szCs w:val="24"/>
          <w:shd w:val="clear" w:color="auto" w:fill="FFFFFF"/>
        </w:rPr>
        <w:t xml:space="preserve">“The Board acknowledge the report and the self-assessment and the improvements that will continue to enhance complaint handling for our customers. The report provides assurance that we are listening, care, take accountability and act. The report reflects strong compliance with the Complaint Handing Code and how the learning throughout the year has been used to improve complaint handling and greater collaboration across the organisation. </w:t>
      </w:r>
    </w:p>
    <w:p w14:paraId="7FCC38D5" w14:textId="77777777" w:rsidR="001742D4" w:rsidRPr="00EA4334" w:rsidRDefault="001742D4" w:rsidP="00EA4334">
      <w:pPr>
        <w:pStyle w:val="NoSpacing"/>
      </w:pPr>
    </w:p>
    <w:p w14:paraId="58AD4D2C" w14:textId="77777777" w:rsidR="001742D4" w:rsidRPr="001742D4" w:rsidRDefault="001742D4" w:rsidP="001742D4">
      <w:pPr>
        <w:jc w:val="both"/>
        <w:rPr>
          <w:i/>
          <w:iCs/>
          <w:color w:val="333333"/>
          <w:sz w:val="24"/>
          <w:szCs w:val="24"/>
          <w:shd w:val="clear" w:color="auto" w:fill="FFFFFF"/>
        </w:rPr>
      </w:pPr>
      <w:r w:rsidRPr="001742D4">
        <w:rPr>
          <w:i/>
          <w:iCs/>
          <w:color w:val="333333"/>
          <w:sz w:val="24"/>
          <w:szCs w:val="24"/>
          <w:shd w:val="clear" w:color="auto" w:fill="FFFFFF"/>
        </w:rPr>
        <w:t xml:space="preserve">We note the areas and numbers of complaints which we are seeking to reduce. However, we also encourage and support customers to complain so that they are heard, and we can </w:t>
      </w:r>
      <w:proofErr w:type="gramStart"/>
      <w:r w:rsidRPr="001742D4">
        <w:rPr>
          <w:i/>
          <w:iCs/>
          <w:color w:val="333333"/>
          <w:sz w:val="24"/>
          <w:szCs w:val="24"/>
          <w:shd w:val="clear" w:color="auto" w:fill="FFFFFF"/>
        </w:rPr>
        <w:t>take action</w:t>
      </w:r>
      <w:proofErr w:type="gramEnd"/>
      <w:r w:rsidRPr="001742D4">
        <w:rPr>
          <w:i/>
          <w:iCs/>
          <w:color w:val="333333"/>
          <w:sz w:val="24"/>
          <w:szCs w:val="24"/>
          <w:shd w:val="clear" w:color="auto" w:fill="FFFFFF"/>
        </w:rPr>
        <w:t>. The areas for learning are noted and we have seen significant efforts in developing complaint handling and how the lessons learned are being used as improvement actions. We are proud that our involved customers have worked with us to look at complaints, the self-assessment, the learning, risks, and opportunities.</w:t>
      </w:r>
    </w:p>
    <w:p w14:paraId="0B766C53" w14:textId="77777777" w:rsidR="001742D4" w:rsidRPr="001742D4" w:rsidRDefault="001742D4" w:rsidP="00EA4334">
      <w:pPr>
        <w:pStyle w:val="NoSpacing"/>
        <w:rPr>
          <w:shd w:val="clear" w:color="auto" w:fill="FFFFFF"/>
        </w:rPr>
      </w:pPr>
    </w:p>
    <w:p w14:paraId="59266FBD" w14:textId="0DB4B29C" w:rsidR="001742D4" w:rsidRDefault="001742D4" w:rsidP="001742D4">
      <w:pPr>
        <w:jc w:val="both"/>
        <w:rPr>
          <w:i/>
          <w:iCs/>
          <w:color w:val="333333"/>
          <w:sz w:val="24"/>
          <w:szCs w:val="24"/>
          <w:shd w:val="clear" w:color="auto" w:fill="FFFFFF"/>
        </w:rPr>
      </w:pPr>
      <w:r w:rsidRPr="001742D4">
        <w:rPr>
          <w:i/>
          <w:iCs/>
          <w:color w:val="333333"/>
          <w:sz w:val="24"/>
          <w:szCs w:val="24"/>
          <w:shd w:val="clear" w:color="auto" w:fill="FFFFFF"/>
        </w:rPr>
        <w:t>On behalf of South Tyneside Homes Board, we are assured by the plan and note that the self-assessment represents the progress made throughout the year and the transparency in the issues, improvements, and risks. The Board of South Tyneside Homes look forward to the continued focus and discussion and to see the improvements made for our customers.”</w:t>
      </w:r>
    </w:p>
    <w:p w14:paraId="445FC0E9" w14:textId="77777777" w:rsidR="00EA4334" w:rsidRPr="001742D4" w:rsidRDefault="00EA4334" w:rsidP="001742D4">
      <w:pPr>
        <w:jc w:val="both"/>
        <w:rPr>
          <w:i/>
          <w:iCs/>
          <w:color w:val="333333"/>
          <w:sz w:val="24"/>
          <w:szCs w:val="24"/>
          <w:shd w:val="clear" w:color="auto" w:fill="FFFFFF"/>
        </w:rPr>
      </w:pPr>
    </w:p>
    <w:p w14:paraId="2A1EF360" w14:textId="760B37A6" w:rsidR="001742D4" w:rsidRDefault="001742D4" w:rsidP="001742D4">
      <w:pPr>
        <w:rPr>
          <w:rFonts w:asciiTheme="majorHAnsi" w:hAnsiTheme="majorHAnsi"/>
          <w:b/>
          <w:bCs/>
          <w:sz w:val="36"/>
          <w:szCs w:val="36"/>
        </w:rPr>
      </w:pPr>
      <w:r>
        <w:rPr>
          <w:noProof/>
        </w:rPr>
        <w:drawing>
          <wp:inline distT="0" distB="0" distL="0" distR="0" wp14:anchorId="2762CB53" wp14:editId="15B35EA5">
            <wp:extent cx="1501321" cy="2101850"/>
            <wp:effectExtent l="0" t="0" r="3810" b="0"/>
            <wp:docPr id="1" name="Picture 1" descr="Councillor Richard Port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cillor Richard Porthou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1321" cy="2101850"/>
                    </a:xfrm>
                    <a:prstGeom prst="rect">
                      <a:avLst/>
                    </a:prstGeom>
                    <a:noFill/>
                    <a:ln>
                      <a:noFill/>
                    </a:ln>
                    <a:effectLst>
                      <a:softEdge rad="165100"/>
                    </a:effectLst>
                  </pic:spPr>
                </pic:pic>
              </a:graphicData>
            </a:graphic>
          </wp:inline>
        </w:drawing>
      </w:r>
    </w:p>
    <w:p w14:paraId="10CD96E2" w14:textId="43D74EB6" w:rsidR="001742D4" w:rsidRPr="00730179" w:rsidRDefault="001742D4" w:rsidP="001742D4">
      <w:pPr>
        <w:rPr>
          <w:rFonts w:asciiTheme="majorHAnsi" w:hAnsiTheme="majorHAnsi"/>
          <w:b/>
          <w:bCs/>
          <w:sz w:val="36"/>
          <w:szCs w:val="36"/>
        </w:rPr>
      </w:pPr>
      <w:r>
        <w:rPr>
          <w:noProof/>
        </w:rPr>
        <w:drawing>
          <wp:inline distT="0" distB="0" distL="0" distR="0" wp14:anchorId="35F37BCD" wp14:editId="6AB3C3D2">
            <wp:extent cx="1606550" cy="821955"/>
            <wp:effectExtent l="0" t="0" r="0" b="0"/>
            <wp:docPr id="35492152"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92152" name="Picture 1" descr="A signature on a white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9824" cy="833863"/>
                    </a:xfrm>
                    <a:prstGeom prst="rect">
                      <a:avLst/>
                    </a:prstGeom>
                    <a:noFill/>
                    <a:ln>
                      <a:noFill/>
                    </a:ln>
                  </pic:spPr>
                </pic:pic>
              </a:graphicData>
            </a:graphic>
          </wp:inline>
        </w:drawing>
      </w:r>
    </w:p>
    <w:p w14:paraId="3711C4E2" w14:textId="018FC780" w:rsidR="001742D4" w:rsidRPr="001742D4" w:rsidRDefault="001742D4" w:rsidP="001742D4">
      <w:pPr>
        <w:rPr>
          <w:b/>
          <w:bCs/>
          <w:sz w:val="24"/>
          <w:szCs w:val="24"/>
        </w:rPr>
      </w:pPr>
      <w:r w:rsidRPr="001742D4">
        <w:rPr>
          <w:b/>
          <w:bCs/>
          <w:sz w:val="24"/>
          <w:szCs w:val="24"/>
        </w:rPr>
        <w:t xml:space="preserve">Councillor Richard </w:t>
      </w:r>
      <w:proofErr w:type="spellStart"/>
      <w:r w:rsidRPr="001742D4">
        <w:rPr>
          <w:b/>
          <w:bCs/>
          <w:sz w:val="24"/>
          <w:szCs w:val="24"/>
        </w:rPr>
        <w:t>Porthouse</w:t>
      </w:r>
      <w:proofErr w:type="spellEnd"/>
      <w:r w:rsidRPr="001742D4">
        <w:rPr>
          <w:b/>
          <w:bCs/>
          <w:sz w:val="24"/>
          <w:szCs w:val="24"/>
        </w:rPr>
        <w:t xml:space="preserve"> </w:t>
      </w:r>
    </w:p>
    <w:p w14:paraId="7BD19A96" w14:textId="52A8F6D2" w:rsidR="001742D4" w:rsidRPr="001742D4" w:rsidRDefault="001742D4" w:rsidP="001742D4">
      <w:pPr>
        <w:rPr>
          <w:b/>
          <w:bCs/>
          <w:sz w:val="24"/>
          <w:szCs w:val="24"/>
        </w:rPr>
      </w:pPr>
      <w:r w:rsidRPr="001742D4">
        <w:rPr>
          <w:b/>
          <w:bCs/>
          <w:sz w:val="24"/>
          <w:szCs w:val="24"/>
        </w:rPr>
        <w:t>Chair of South Tyneside Homes Board</w:t>
      </w:r>
    </w:p>
    <w:p w14:paraId="440F033F" w14:textId="1D42A9AC" w:rsidR="004B4BB6" w:rsidRPr="00730179" w:rsidRDefault="004B4BB6" w:rsidP="004B4BB6">
      <w:pPr>
        <w:rPr>
          <w:rFonts w:asciiTheme="majorHAnsi" w:hAnsiTheme="majorHAnsi"/>
          <w:b/>
          <w:bCs/>
          <w:sz w:val="36"/>
          <w:szCs w:val="36"/>
        </w:rPr>
      </w:pPr>
      <w:r w:rsidRPr="00730179">
        <w:rPr>
          <w:rFonts w:asciiTheme="majorHAnsi" w:hAnsiTheme="majorHAnsi"/>
          <w:b/>
          <w:bCs/>
          <w:sz w:val="36"/>
          <w:szCs w:val="36"/>
        </w:rPr>
        <w:lastRenderedPageBreak/>
        <w:t>Introduction</w:t>
      </w:r>
    </w:p>
    <w:p w14:paraId="569A5B99" w14:textId="4D5C32D1" w:rsidR="004B4BB6" w:rsidRPr="00EF38C1" w:rsidRDefault="004B4BB6" w:rsidP="004B4BB6">
      <w:pPr>
        <w:jc w:val="both"/>
        <w:rPr>
          <w:b/>
          <w:bCs/>
          <w:sz w:val="24"/>
          <w:szCs w:val="24"/>
        </w:rPr>
      </w:pPr>
      <w:r w:rsidRPr="00EF38C1">
        <w:rPr>
          <w:color w:val="333333"/>
          <w:sz w:val="24"/>
          <w:szCs w:val="24"/>
          <w:shd w:val="clear" w:color="auto" w:fill="FFFFFF"/>
        </w:rPr>
        <w:t>South Tyneside Homes aims to provide excellent services to all our customers, but it is acknowledged that on occasion the service delivered may fall short of excellence resulting in customers being dissatisfied. Where problems do occur, South Tyneside Homes is committed to investigating and resolving incidents of dissatisfaction and learning from them.</w:t>
      </w:r>
    </w:p>
    <w:p w14:paraId="04F5E64E" w14:textId="7A4F0185" w:rsidR="004B4BB6" w:rsidRPr="00EF38C1" w:rsidRDefault="004B4BB6" w:rsidP="004B4BB6">
      <w:pPr>
        <w:jc w:val="both"/>
        <w:rPr>
          <w:sz w:val="24"/>
          <w:szCs w:val="24"/>
        </w:rPr>
      </w:pPr>
      <w:r w:rsidRPr="00EF38C1">
        <w:rPr>
          <w:sz w:val="24"/>
          <w:szCs w:val="24"/>
        </w:rPr>
        <w:t xml:space="preserve">This report provides an update on South Tyneside Homes’ complaint handling performance over the last financial year and highlights the changes and service improvements implemented </w:t>
      </w:r>
      <w:proofErr w:type="gramStart"/>
      <w:r w:rsidRPr="00EF38C1">
        <w:rPr>
          <w:sz w:val="24"/>
          <w:szCs w:val="24"/>
        </w:rPr>
        <w:t>as a result of</w:t>
      </w:r>
      <w:proofErr w:type="gramEnd"/>
      <w:r w:rsidRPr="00EF38C1">
        <w:rPr>
          <w:sz w:val="24"/>
          <w:szCs w:val="24"/>
        </w:rPr>
        <w:t xml:space="preserve"> learnings from customer feedback. </w:t>
      </w:r>
    </w:p>
    <w:p w14:paraId="7673DB3A" w14:textId="77777777" w:rsidR="004B4BB6" w:rsidRPr="00EF38C1" w:rsidRDefault="004B4BB6" w:rsidP="004B4BB6">
      <w:pPr>
        <w:pStyle w:val="Default"/>
        <w:rPr>
          <w:rFonts w:asciiTheme="minorHAnsi" w:hAnsiTheme="minorHAnsi"/>
        </w:rPr>
      </w:pPr>
      <w:r w:rsidRPr="00EF38C1">
        <w:rPr>
          <w:rFonts w:asciiTheme="minorHAnsi" w:hAnsiTheme="minorHAnsi"/>
        </w:rPr>
        <w:t xml:space="preserve">This report will cover: </w:t>
      </w:r>
    </w:p>
    <w:p w14:paraId="0D3E3CE0" w14:textId="77777777" w:rsidR="004B4BB6" w:rsidRPr="00EF38C1" w:rsidRDefault="004B4BB6" w:rsidP="004B4BB6">
      <w:pPr>
        <w:pStyle w:val="Default"/>
        <w:rPr>
          <w:rFonts w:asciiTheme="minorHAnsi" w:hAnsiTheme="minorHAnsi"/>
        </w:rPr>
      </w:pPr>
    </w:p>
    <w:p w14:paraId="157D964A" w14:textId="742AD04D" w:rsidR="004B4BB6" w:rsidRPr="00EF38C1" w:rsidRDefault="00783BD5" w:rsidP="004B4BB6">
      <w:pPr>
        <w:pStyle w:val="Default"/>
        <w:numPr>
          <w:ilvl w:val="0"/>
          <w:numId w:val="1"/>
        </w:numPr>
        <w:spacing w:after="47"/>
        <w:rPr>
          <w:rFonts w:asciiTheme="minorHAnsi" w:hAnsiTheme="minorHAnsi"/>
        </w:rPr>
      </w:pPr>
      <w:r>
        <w:rPr>
          <w:rFonts w:asciiTheme="minorHAnsi" w:hAnsiTheme="minorHAnsi"/>
        </w:rPr>
        <w:t>A</w:t>
      </w:r>
      <w:r w:rsidR="00525183" w:rsidRPr="00EF38C1">
        <w:rPr>
          <w:rFonts w:asciiTheme="minorHAnsi" w:hAnsiTheme="minorHAnsi"/>
        </w:rPr>
        <w:t>nnual Self-Assessment 2024/2025</w:t>
      </w:r>
    </w:p>
    <w:p w14:paraId="0DFB5CF8" w14:textId="2D7E3DE7" w:rsidR="004B4BB6" w:rsidRPr="00EF38C1" w:rsidRDefault="00783BD5" w:rsidP="004B4BB6">
      <w:pPr>
        <w:pStyle w:val="Default"/>
        <w:numPr>
          <w:ilvl w:val="0"/>
          <w:numId w:val="1"/>
        </w:numPr>
        <w:spacing w:after="47"/>
        <w:rPr>
          <w:rFonts w:asciiTheme="minorHAnsi" w:hAnsiTheme="minorHAnsi"/>
        </w:rPr>
      </w:pPr>
      <w:r>
        <w:rPr>
          <w:rFonts w:asciiTheme="minorHAnsi" w:hAnsiTheme="minorHAnsi"/>
        </w:rPr>
        <w:t>Complaints Performance</w:t>
      </w:r>
      <w:r w:rsidR="00EF38C1" w:rsidRPr="00EF38C1">
        <w:rPr>
          <w:rFonts w:asciiTheme="minorHAnsi" w:hAnsiTheme="minorHAnsi"/>
        </w:rPr>
        <w:t xml:space="preserve"> </w:t>
      </w:r>
      <w:r w:rsidR="00525183" w:rsidRPr="00EF38C1">
        <w:rPr>
          <w:rFonts w:asciiTheme="minorHAnsi" w:hAnsiTheme="minorHAnsi"/>
        </w:rPr>
        <w:t>2023/2024</w:t>
      </w:r>
    </w:p>
    <w:p w14:paraId="7F2A3F87" w14:textId="41F49E36" w:rsidR="004B4BB6" w:rsidRPr="00EF38C1" w:rsidRDefault="00517425" w:rsidP="004B4BB6">
      <w:pPr>
        <w:pStyle w:val="Default"/>
        <w:numPr>
          <w:ilvl w:val="0"/>
          <w:numId w:val="1"/>
        </w:numPr>
        <w:spacing w:after="47"/>
        <w:rPr>
          <w:rFonts w:asciiTheme="minorHAnsi" w:hAnsiTheme="minorHAnsi"/>
        </w:rPr>
      </w:pPr>
      <w:r>
        <w:rPr>
          <w:rFonts w:asciiTheme="minorHAnsi" w:hAnsiTheme="minorHAnsi"/>
        </w:rPr>
        <w:t>Refused Complaints</w:t>
      </w:r>
    </w:p>
    <w:p w14:paraId="6B6BAD28" w14:textId="78D77BAA" w:rsidR="004B4BB6" w:rsidRPr="00EF38C1" w:rsidRDefault="00841488" w:rsidP="008B541F">
      <w:pPr>
        <w:pStyle w:val="Default"/>
        <w:numPr>
          <w:ilvl w:val="0"/>
          <w:numId w:val="1"/>
        </w:numPr>
        <w:spacing w:after="47"/>
        <w:rPr>
          <w:rFonts w:asciiTheme="minorHAnsi" w:hAnsiTheme="minorHAnsi"/>
        </w:rPr>
      </w:pPr>
      <w:r>
        <w:rPr>
          <w:rFonts w:asciiTheme="minorHAnsi" w:hAnsiTheme="minorHAnsi"/>
        </w:rPr>
        <w:t>Housing Ombudsman Determinations</w:t>
      </w:r>
      <w:r w:rsidR="00542CF0">
        <w:rPr>
          <w:rFonts w:asciiTheme="minorHAnsi" w:hAnsiTheme="minorHAnsi"/>
        </w:rPr>
        <w:t xml:space="preserve"> 2023/2024</w:t>
      </w:r>
    </w:p>
    <w:p w14:paraId="1CDEC049" w14:textId="50699A4D" w:rsidR="004B4BB6" w:rsidRDefault="005140A6" w:rsidP="004B4BB6">
      <w:pPr>
        <w:pStyle w:val="Default"/>
        <w:numPr>
          <w:ilvl w:val="0"/>
          <w:numId w:val="1"/>
        </w:numPr>
        <w:rPr>
          <w:rFonts w:asciiTheme="minorHAnsi" w:hAnsiTheme="minorHAnsi"/>
        </w:rPr>
      </w:pPr>
      <w:r>
        <w:rPr>
          <w:rFonts w:asciiTheme="minorHAnsi" w:hAnsiTheme="minorHAnsi"/>
        </w:rPr>
        <w:t>L</w:t>
      </w:r>
      <w:r w:rsidR="008B541F" w:rsidRPr="00EF38C1">
        <w:rPr>
          <w:rFonts w:asciiTheme="minorHAnsi" w:hAnsiTheme="minorHAnsi"/>
        </w:rPr>
        <w:t xml:space="preserve">earnings and </w:t>
      </w:r>
      <w:r w:rsidR="00A46D19">
        <w:rPr>
          <w:rFonts w:asciiTheme="minorHAnsi" w:hAnsiTheme="minorHAnsi"/>
        </w:rPr>
        <w:t>S</w:t>
      </w:r>
      <w:r w:rsidR="008B541F" w:rsidRPr="00EF38C1">
        <w:rPr>
          <w:rFonts w:asciiTheme="minorHAnsi" w:hAnsiTheme="minorHAnsi"/>
        </w:rPr>
        <w:t xml:space="preserve">ervice </w:t>
      </w:r>
      <w:r w:rsidR="00A46D19">
        <w:rPr>
          <w:rFonts w:asciiTheme="minorHAnsi" w:hAnsiTheme="minorHAnsi"/>
        </w:rPr>
        <w:t>I</w:t>
      </w:r>
      <w:r w:rsidR="008B541F" w:rsidRPr="00EF38C1">
        <w:rPr>
          <w:rFonts w:asciiTheme="minorHAnsi" w:hAnsiTheme="minorHAnsi"/>
        </w:rPr>
        <w:t xml:space="preserve">mprovements </w:t>
      </w:r>
      <w:r w:rsidR="003B380B">
        <w:rPr>
          <w:rFonts w:asciiTheme="minorHAnsi" w:hAnsiTheme="minorHAnsi"/>
        </w:rPr>
        <w:t>from Customer Feedback</w:t>
      </w:r>
    </w:p>
    <w:p w14:paraId="2E538205" w14:textId="6FA595F6" w:rsidR="003B380B" w:rsidRPr="00EF38C1" w:rsidRDefault="003B380B" w:rsidP="004B4BB6">
      <w:pPr>
        <w:pStyle w:val="Default"/>
        <w:numPr>
          <w:ilvl w:val="0"/>
          <w:numId w:val="1"/>
        </w:numPr>
        <w:rPr>
          <w:rFonts w:asciiTheme="minorHAnsi" w:hAnsiTheme="minorHAnsi"/>
        </w:rPr>
      </w:pPr>
      <w:r>
        <w:rPr>
          <w:rFonts w:asciiTheme="minorHAnsi" w:hAnsiTheme="minorHAnsi"/>
        </w:rPr>
        <w:t>L</w:t>
      </w:r>
      <w:r w:rsidRPr="00EF38C1">
        <w:rPr>
          <w:rFonts w:asciiTheme="minorHAnsi" w:hAnsiTheme="minorHAnsi"/>
        </w:rPr>
        <w:t xml:space="preserve">earnings and </w:t>
      </w:r>
      <w:r>
        <w:rPr>
          <w:rFonts w:asciiTheme="minorHAnsi" w:hAnsiTheme="minorHAnsi"/>
        </w:rPr>
        <w:t>S</w:t>
      </w:r>
      <w:r w:rsidRPr="00EF38C1">
        <w:rPr>
          <w:rFonts w:asciiTheme="minorHAnsi" w:hAnsiTheme="minorHAnsi"/>
        </w:rPr>
        <w:t xml:space="preserve">ervice </w:t>
      </w:r>
      <w:r>
        <w:rPr>
          <w:rFonts w:asciiTheme="minorHAnsi" w:hAnsiTheme="minorHAnsi"/>
        </w:rPr>
        <w:t>I</w:t>
      </w:r>
      <w:r w:rsidRPr="00EF38C1">
        <w:rPr>
          <w:rFonts w:asciiTheme="minorHAnsi" w:hAnsiTheme="minorHAnsi"/>
        </w:rPr>
        <w:t xml:space="preserve">mprovements </w:t>
      </w:r>
      <w:r>
        <w:rPr>
          <w:rFonts w:asciiTheme="minorHAnsi" w:hAnsiTheme="minorHAnsi"/>
        </w:rPr>
        <w:t>from Tenant Involvement and Engagement</w:t>
      </w:r>
    </w:p>
    <w:p w14:paraId="42F6A011" w14:textId="5191F33A" w:rsidR="008B541F" w:rsidRPr="00EF38C1" w:rsidRDefault="005140A6" w:rsidP="004B4BB6">
      <w:pPr>
        <w:pStyle w:val="Default"/>
        <w:numPr>
          <w:ilvl w:val="0"/>
          <w:numId w:val="1"/>
        </w:numPr>
        <w:rPr>
          <w:rFonts w:asciiTheme="minorHAnsi" w:hAnsiTheme="minorHAnsi"/>
        </w:rPr>
      </w:pPr>
      <w:r>
        <w:rPr>
          <w:rFonts w:asciiTheme="minorHAnsi" w:hAnsiTheme="minorHAnsi"/>
        </w:rPr>
        <w:t>C</w:t>
      </w:r>
      <w:r w:rsidR="008B541F" w:rsidRPr="00EF38C1">
        <w:rPr>
          <w:rFonts w:asciiTheme="minorHAnsi" w:hAnsiTheme="minorHAnsi"/>
        </w:rPr>
        <w:t>ompliments</w:t>
      </w:r>
    </w:p>
    <w:p w14:paraId="71CB427E" w14:textId="77777777" w:rsidR="008B541F" w:rsidRDefault="008B541F" w:rsidP="008B541F">
      <w:pPr>
        <w:pStyle w:val="Default"/>
        <w:rPr>
          <w:rFonts w:asciiTheme="minorHAnsi" w:hAnsiTheme="minorHAnsi"/>
          <w:sz w:val="22"/>
          <w:szCs w:val="22"/>
        </w:rPr>
      </w:pPr>
    </w:p>
    <w:p w14:paraId="564485BD" w14:textId="77777777" w:rsidR="008B541F" w:rsidRDefault="008B541F" w:rsidP="008B541F">
      <w:pPr>
        <w:pStyle w:val="Default"/>
        <w:rPr>
          <w:rFonts w:asciiTheme="minorHAnsi" w:hAnsiTheme="minorHAnsi"/>
          <w:sz w:val="22"/>
          <w:szCs w:val="22"/>
        </w:rPr>
      </w:pPr>
    </w:p>
    <w:p w14:paraId="65E20382" w14:textId="77777777" w:rsidR="00EF38C1" w:rsidRDefault="00EF38C1" w:rsidP="008B541F">
      <w:pPr>
        <w:pStyle w:val="Default"/>
        <w:rPr>
          <w:rFonts w:asciiTheme="minorHAnsi" w:hAnsiTheme="minorHAnsi"/>
          <w:b/>
          <w:bCs/>
          <w:sz w:val="36"/>
          <w:szCs w:val="36"/>
        </w:rPr>
      </w:pPr>
    </w:p>
    <w:p w14:paraId="22F3852A" w14:textId="32CFB867" w:rsidR="008B541F" w:rsidRPr="00730179" w:rsidRDefault="008B541F" w:rsidP="008B541F">
      <w:pPr>
        <w:pStyle w:val="Default"/>
        <w:rPr>
          <w:rFonts w:asciiTheme="majorHAnsi" w:hAnsiTheme="majorHAnsi"/>
          <w:b/>
          <w:bCs/>
          <w:sz w:val="36"/>
          <w:szCs w:val="36"/>
        </w:rPr>
      </w:pPr>
      <w:r w:rsidRPr="00730179">
        <w:rPr>
          <w:rFonts w:asciiTheme="majorHAnsi" w:hAnsiTheme="majorHAnsi"/>
          <w:b/>
          <w:bCs/>
          <w:sz w:val="36"/>
          <w:szCs w:val="36"/>
        </w:rPr>
        <w:t>Self-Assessment 2024/2025</w:t>
      </w:r>
    </w:p>
    <w:p w14:paraId="5C4418D9" w14:textId="77777777" w:rsidR="008B541F" w:rsidRDefault="008B541F" w:rsidP="008B541F">
      <w:pPr>
        <w:pStyle w:val="Default"/>
        <w:rPr>
          <w:rFonts w:asciiTheme="minorHAnsi" w:hAnsiTheme="minorHAnsi"/>
          <w:sz w:val="22"/>
          <w:szCs w:val="22"/>
        </w:rPr>
      </w:pPr>
    </w:p>
    <w:p w14:paraId="3AC54140" w14:textId="4E5E36B9" w:rsidR="005A24F0" w:rsidRPr="005A24F0" w:rsidRDefault="005A24F0" w:rsidP="00EF38C1">
      <w:pPr>
        <w:pStyle w:val="NoSpacing"/>
        <w:jc w:val="both"/>
        <w:rPr>
          <w:rFonts w:cs="Arial"/>
          <w:color w:val="000000"/>
          <w:kern w:val="0"/>
          <w:sz w:val="24"/>
          <w:szCs w:val="24"/>
        </w:rPr>
      </w:pPr>
      <w:r w:rsidRPr="005A24F0">
        <w:rPr>
          <w:rFonts w:cs="Arial"/>
          <w:color w:val="000000"/>
          <w:kern w:val="0"/>
          <w:sz w:val="24"/>
          <w:szCs w:val="24"/>
        </w:rPr>
        <w:t>The</w:t>
      </w:r>
      <w:r w:rsidRPr="00EF38C1">
        <w:rPr>
          <w:rFonts w:cs="Arial"/>
          <w:color w:val="000000"/>
          <w:kern w:val="0"/>
          <w:sz w:val="24"/>
          <w:szCs w:val="24"/>
        </w:rPr>
        <w:t xml:space="preserve"> Housing Ombudsman</w:t>
      </w:r>
      <w:r w:rsidRPr="005A24F0">
        <w:rPr>
          <w:rFonts w:cs="Arial"/>
          <w:color w:val="000000"/>
          <w:kern w:val="0"/>
          <w:sz w:val="24"/>
          <w:szCs w:val="24"/>
        </w:rPr>
        <w:t xml:space="preserve"> Complaint Handling Code sets out requirements for member landlords. The purpose of the Code is to enable landlords to resolve complaints raised by residents quickly and use the data and learning from complaints to drive service improvements.  </w:t>
      </w:r>
    </w:p>
    <w:p w14:paraId="01F74867" w14:textId="77777777" w:rsidR="00F80466" w:rsidRDefault="00F80466" w:rsidP="00EF38C1">
      <w:pPr>
        <w:pStyle w:val="NoSpacing"/>
        <w:jc w:val="both"/>
        <w:rPr>
          <w:rFonts w:cs="Arial"/>
          <w:color w:val="000000"/>
          <w:kern w:val="0"/>
          <w:sz w:val="24"/>
          <w:szCs w:val="24"/>
        </w:rPr>
      </w:pPr>
    </w:p>
    <w:p w14:paraId="3C650686" w14:textId="61868DB5" w:rsidR="005A24F0" w:rsidRPr="005A24F0" w:rsidRDefault="005A24F0" w:rsidP="00EF38C1">
      <w:pPr>
        <w:pStyle w:val="NoSpacing"/>
        <w:jc w:val="both"/>
        <w:rPr>
          <w:rFonts w:cs="Arial"/>
          <w:color w:val="000000"/>
          <w:kern w:val="0"/>
          <w:sz w:val="24"/>
          <w:szCs w:val="24"/>
        </w:rPr>
      </w:pPr>
      <w:r w:rsidRPr="005A24F0">
        <w:rPr>
          <w:rFonts w:cs="Arial"/>
          <w:color w:val="000000"/>
          <w:kern w:val="0"/>
          <w:sz w:val="24"/>
          <w:szCs w:val="24"/>
        </w:rPr>
        <w:t>From 1 April 2024, the Code became statutory meaning that member landlords are obliged by law to follow its requirements.  </w:t>
      </w:r>
    </w:p>
    <w:p w14:paraId="20037A6D" w14:textId="77777777" w:rsidR="005A24F0" w:rsidRPr="00EF38C1" w:rsidRDefault="005A24F0" w:rsidP="00EF38C1">
      <w:pPr>
        <w:pStyle w:val="NoSpacing"/>
        <w:jc w:val="both"/>
        <w:rPr>
          <w:sz w:val="24"/>
          <w:szCs w:val="24"/>
        </w:rPr>
      </w:pPr>
    </w:p>
    <w:p w14:paraId="29E10C9C" w14:textId="01FDDF14" w:rsidR="00347A17" w:rsidRPr="00EF38C1" w:rsidRDefault="00347A17" w:rsidP="00EF38C1">
      <w:pPr>
        <w:pStyle w:val="NoSpacing"/>
        <w:jc w:val="both"/>
        <w:rPr>
          <w:sz w:val="24"/>
          <w:szCs w:val="24"/>
        </w:rPr>
      </w:pPr>
      <w:r w:rsidRPr="00EF38C1">
        <w:rPr>
          <w:sz w:val="24"/>
          <w:szCs w:val="24"/>
        </w:rPr>
        <w:t>South Tyneside Homes have completed the Housing Ombudsman’s Annual Self-Assessment to measure ourselves against this code to see if we are compl</w:t>
      </w:r>
      <w:r w:rsidR="00F80466">
        <w:rPr>
          <w:sz w:val="24"/>
          <w:szCs w:val="24"/>
        </w:rPr>
        <w:t>iant</w:t>
      </w:r>
      <w:r w:rsidRPr="00EF38C1">
        <w:rPr>
          <w:sz w:val="24"/>
          <w:szCs w:val="24"/>
        </w:rPr>
        <w:t xml:space="preserve"> and where we can improve. </w:t>
      </w:r>
    </w:p>
    <w:p w14:paraId="0C17AA03" w14:textId="77777777" w:rsidR="00347A17" w:rsidRPr="00EF38C1" w:rsidRDefault="00347A17" w:rsidP="00EF38C1">
      <w:pPr>
        <w:pStyle w:val="Default"/>
        <w:jc w:val="both"/>
        <w:rPr>
          <w:rFonts w:asciiTheme="minorHAnsi" w:hAnsiTheme="minorHAnsi"/>
        </w:rPr>
      </w:pPr>
    </w:p>
    <w:p w14:paraId="12182AC7" w14:textId="707C41B5" w:rsidR="00347A17" w:rsidRPr="00EF38C1" w:rsidRDefault="00347A17" w:rsidP="00EF38C1">
      <w:pPr>
        <w:pStyle w:val="Default"/>
        <w:jc w:val="both"/>
        <w:rPr>
          <w:rFonts w:asciiTheme="minorHAnsi" w:hAnsiTheme="minorHAnsi"/>
        </w:rPr>
      </w:pPr>
      <w:r w:rsidRPr="00EF38C1">
        <w:rPr>
          <w:rFonts w:asciiTheme="minorHAnsi" w:hAnsiTheme="minorHAnsi"/>
        </w:rPr>
        <w:t xml:space="preserve">South Tyneside Homes are fully compliant with the Housing Ombudsman’s Complaint Handling Code and there are no areas of non-compliance. </w:t>
      </w:r>
    </w:p>
    <w:p w14:paraId="7891E444" w14:textId="77777777" w:rsidR="00347A17" w:rsidRPr="00EF38C1" w:rsidRDefault="00347A17" w:rsidP="00EF38C1">
      <w:pPr>
        <w:pStyle w:val="Default"/>
        <w:jc w:val="both"/>
        <w:rPr>
          <w:rFonts w:asciiTheme="minorHAnsi" w:hAnsiTheme="minorHAnsi"/>
        </w:rPr>
      </w:pPr>
    </w:p>
    <w:p w14:paraId="5FF52618" w14:textId="1AA3D366" w:rsidR="00271114" w:rsidRPr="00EF38C1" w:rsidRDefault="00347A17" w:rsidP="00EF38C1">
      <w:pPr>
        <w:pStyle w:val="Default"/>
        <w:jc w:val="both"/>
        <w:rPr>
          <w:rFonts w:asciiTheme="minorHAnsi" w:hAnsiTheme="minorHAnsi"/>
        </w:rPr>
      </w:pPr>
      <w:r w:rsidRPr="00EF38C1">
        <w:rPr>
          <w:rFonts w:asciiTheme="minorHAnsi" w:hAnsiTheme="minorHAnsi"/>
        </w:rPr>
        <w:t>The completed Self-Assessment for 2024/2025 can be found on our website</w:t>
      </w:r>
      <w:r w:rsidR="005A24F0" w:rsidRPr="00EF38C1">
        <w:rPr>
          <w:rFonts w:asciiTheme="minorHAnsi" w:hAnsiTheme="minorHAnsi"/>
        </w:rPr>
        <w:t xml:space="preserve">’s complaints page to view </w:t>
      </w:r>
      <w:proofErr w:type="spellStart"/>
      <w:r w:rsidR="005A24F0" w:rsidRPr="00EF38C1">
        <w:rPr>
          <w:rFonts w:asciiTheme="minorHAnsi" w:hAnsiTheme="minorHAnsi"/>
        </w:rPr>
        <w:t>along side</w:t>
      </w:r>
      <w:proofErr w:type="spellEnd"/>
      <w:r w:rsidR="005A24F0" w:rsidRPr="00EF38C1">
        <w:rPr>
          <w:rFonts w:asciiTheme="minorHAnsi" w:hAnsiTheme="minorHAnsi"/>
        </w:rPr>
        <w:t xml:space="preserve"> our updated Complaints and Compliments Policy.</w:t>
      </w:r>
    </w:p>
    <w:p w14:paraId="19F1B657" w14:textId="77777777" w:rsidR="00271114" w:rsidRDefault="00271114">
      <w:pPr>
        <w:rPr>
          <w:rFonts w:cs="Arial"/>
          <w:color w:val="000000"/>
          <w:kern w:val="0"/>
        </w:rPr>
      </w:pPr>
      <w:r>
        <w:br w:type="page"/>
      </w:r>
    </w:p>
    <w:p w14:paraId="43B53AF6" w14:textId="752E0884" w:rsidR="00347A17" w:rsidRDefault="00783BD5" w:rsidP="008B541F">
      <w:pPr>
        <w:pStyle w:val="Default"/>
        <w:rPr>
          <w:rFonts w:asciiTheme="majorHAnsi" w:hAnsiTheme="majorHAnsi"/>
          <w:b/>
          <w:bCs/>
          <w:sz w:val="36"/>
          <w:szCs w:val="36"/>
        </w:rPr>
      </w:pPr>
      <w:r>
        <w:rPr>
          <w:rFonts w:asciiTheme="majorHAnsi" w:hAnsiTheme="majorHAnsi"/>
          <w:b/>
          <w:bCs/>
          <w:sz w:val="36"/>
          <w:szCs w:val="36"/>
        </w:rPr>
        <w:lastRenderedPageBreak/>
        <w:t>Complaints Performance</w:t>
      </w:r>
      <w:r w:rsidR="00EF38C1" w:rsidRPr="00730179">
        <w:rPr>
          <w:rFonts w:asciiTheme="majorHAnsi" w:hAnsiTheme="majorHAnsi"/>
          <w:b/>
          <w:bCs/>
          <w:sz w:val="36"/>
          <w:szCs w:val="36"/>
        </w:rPr>
        <w:t xml:space="preserve"> 2023/2024</w:t>
      </w:r>
    </w:p>
    <w:p w14:paraId="1742C961" w14:textId="77777777" w:rsidR="00730179" w:rsidRDefault="00730179" w:rsidP="008B541F">
      <w:pPr>
        <w:pStyle w:val="Default"/>
        <w:rPr>
          <w:rFonts w:asciiTheme="majorHAnsi" w:hAnsiTheme="majorHAnsi"/>
          <w:b/>
          <w:bCs/>
          <w:sz w:val="36"/>
          <w:szCs w:val="36"/>
        </w:rPr>
      </w:pPr>
    </w:p>
    <w:p w14:paraId="52F0A142" w14:textId="5A1D0FED" w:rsidR="00517425" w:rsidRPr="00631FA5" w:rsidRDefault="008E6BEB" w:rsidP="00631FA5">
      <w:pPr>
        <w:pStyle w:val="Default"/>
        <w:jc w:val="both"/>
        <w:rPr>
          <w:rFonts w:asciiTheme="minorHAnsi" w:hAnsiTheme="minorHAnsi"/>
        </w:rPr>
      </w:pPr>
      <w:r>
        <w:rPr>
          <w:rFonts w:asciiTheme="minorHAnsi" w:hAnsiTheme="minorHAnsi"/>
        </w:rPr>
        <w:t xml:space="preserve">South Tyneside Homes received </w:t>
      </w:r>
      <w:r w:rsidR="00A407EC" w:rsidRPr="00F75CFF">
        <w:rPr>
          <w:rFonts w:asciiTheme="minorHAnsi" w:hAnsiTheme="minorHAnsi"/>
          <w:b/>
          <w:bCs/>
        </w:rPr>
        <w:t>1038 Stage 1</w:t>
      </w:r>
      <w:r w:rsidR="00A407EC">
        <w:rPr>
          <w:rFonts w:asciiTheme="minorHAnsi" w:hAnsiTheme="minorHAnsi"/>
        </w:rPr>
        <w:t xml:space="preserve"> complaints and </w:t>
      </w:r>
      <w:r w:rsidR="00A407EC" w:rsidRPr="00F75CFF">
        <w:rPr>
          <w:rFonts w:asciiTheme="minorHAnsi" w:hAnsiTheme="minorHAnsi"/>
          <w:b/>
          <w:bCs/>
        </w:rPr>
        <w:t>151 Stage 2</w:t>
      </w:r>
      <w:r w:rsidR="00A407EC">
        <w:rPr>
          <w:rFonts w:asciiTheme="minorHAnsi" w:hAnsiTheme="minorHAnsi"/>
        </w:rPr>
        <w:t xml:space="preserve"> complaints</w:t>
      </w:r>
      <w:r w:rsidR="00F75CFF">
        <w:rPr>
          <w:rFonts w:asciiTheme="minorHAnsi" w:hAnsiTheme="minorHAnsi"/>
        </w:rPr>
        <w:t xml:space="preserve"> </w:t>
      </w:r>
      <w:r w:rsidR="00EA078C">
        <w:rPr>
          <w:rFonts w:asciiTheme="minorHAnsi" w:hAnsiTheme="minorHAnsi"/>
        </w:rPr>
        <w:t>during the 2023/2024 financial year.</w:t>
      </w:r>
      <w:r w:rsidR="00567643">
        <w:rPr>
          <w:rFonts w:asciiTheme="minorHAnsi" w:hAnsiTheme="minorHAnsi"/>
        </w:rPr>
        <w:t xml:space="preserve"> </w:t>
      </w:r>
      <w:r w:rsidR="00631FA5" w:rsidRPr="00631FA5">
        <w:rPr>
          <w:rFonts w:asciiTheme="minorHAnsi" w:hAnsiTheme="minorHAnsi"/>
        </w:rPr>
        <w:t>Whilst our complaint volumes may seem high, we consider this indicative of a well-publicised, accessible service, and demonstrates our commitment and culture to be transparent and accountable in handling and learning from complaints</w:t>
      </w:r>
      <w:r w:rsidR="00631FA5">
        <w:rPr>
          <w:rFonts w:asciiTheme="minorHAnsi" w:hAnsiTheme="minorHAnsi"/>
        </w:rPr>
        <w:t>.</w:t>
      </w:r>
    </w:p>
    <w:p w14:paraId="5AA8F40B" w14:textId="2E68DE5E" w:rsidR="00EA078C" w:rsidRDefault="00EA078C" w:rsidP="008B541F">
      <w:pPr>
        <w:pStyle w:val="Default"/>
        <w:rPr>
          <w:rFonts w:asciiTheme="minorHAnsi" w:hAnsiTheme="minorHAnsi"/>
        </w:rPr>
      </w:pPr>
    </w:p>
    <w:p w14:paraId="636BE5D9" w14:textId="77777777" w:rsidR="001D3F74" w:rsidRDefault="00EA078C" w:rsidP="008B541F">
      <w:pPr>
        <w:pStyle w:val="Default"/>
        <w:rPr>
          <w:rFonts w:asciiTheme="minorHAnsi" w:hAnsiTheme="minorHAnsi"/>
        </w:rPr>
      </w:pPr>
      <w:r>
        <w:rPr>
          <w:rFonts w:asciiTheme="minorHAnsi" w:hAnsiTheme="minorHAnsi"/>
        </w:rPr>
        <w:t xml:space="preserve">The </w:t>
      </w:r>
      <w:r w:rsidR="001B4E31">
        <w:rPr>
          <w:rFonts w:asciiTheme="minorHAnsi" w:hAnsiTheme="minorHAnsi"/>
        </w:rPr>
        <w:t>charts below show the breakdown of complaints which were upheld, not upheld, partially upheld or discontinued at stage 1 and stage 2.</w:t>
      </w:r>
    </w:p>
    <w:p w14:paraId="4D1AC017" w14:textId="77777777" w:rsidR="001D3F74" w:rsidRDefault="001D3F74" w:rsidP="008B541F">
      <w:pPr>
        <w:pStyle w:val="Default"/>
        <w:rPr>
          <w:rFonts w:asciiTheme="minorHAnsi" w:hAnsiTheme="minorHAnsi"/>
        </w:rPr>
      </w:pPr>
    </w:p>
    <w:p w14:paraId="0D3918DE" w14:textId="16481484" w:rsidR="00EA078C" w:rsidRPr="00631FA5" w:rsidRDefault="00493E8E" w:rsidP="008B541F">
      <w:pPr>
        <w:pStyle w:val="Default"/>
        <w:rPr>
          <w:rFonts w:asciiTheme="minorHAnsi" w:hAnsiTheme="minorHAnsi"/>
          <w:i/>
          <w:iCs/>
          <w:sz w:val="20"/>
          <w:szCs w:val="20"/>
        </w:rPr>
      </w:pPr>
      <w:r w:rsidRPr="00631FA5">
        <w:rPr>
          <w:rFonts w:asciiTheme="minorHAnsi" w:hAnsiTheme="minorHAnsi"/>
          <w:i/>
          <w:iCs/>
          <w:sz w:val="20"/>
          <w:szCs w:val="20"/>
        </w:rPr>
        <w:t>(Discontinued complaints are defined as complaints which have been logged and an investigation has commenced, however, have then been discontinued at the customer’s request).</w:t>
      </w:r>
    </w:p>
    <w:p w14:paraId="3FCBEC22" w14:textId="77777777" w:rsidR="00975AE3" w:rsidRDefault="00975AE3" w:rsidP="008B541F">
      <w:pPr>
        <w:pStyle w:val="Default"/>
        <w:rPr>
          <w:rFonts w:asciiTheme="minorHAnsi" w:hAnsiTheme="minorHAnsi"/>
        </w:rPr>
      </w:pPr>
    </w:p>
    <w:p w14:paraId="01E39DAA" w14:textId="45A8D039" w:rsidR="00975AE3" w:rsidRDefault="00AB0A1A" w:rsidP="00A1653D">
      <w:pPr>
        <w:pStyle w:val="Default"/>
        <w:jc w:val="center"/>
        <w:rPr>
          <w:rFonts w:asciiTheme="minorHAnsi" w:hAnsiTheme="minorHAnsi"/>
        </w:rPr>
      </w:pPr>
      <w:r>
        <w:rPr>
          <w:noProof/>
        </w:rPr>
        <w:drawing>
          <wp:inline distT="0" distB="0" distL="0" distR="0" wp14:anchorId="78490673" wp14:editId="248971A0">
            <wp:extent cx="4572000" cy="2743200"/>
            <wp:effectExtent l="0" t="0" r="0" b="0"/>
            <wp:docPr id="670839321" name="Chart 1">
              <a:extLst xmlns:a="http://schemas.openxmlformats.org/drawingml/2006/main">
                <a:ext uri="{FF2B5EF4-FFF2-40B4-BE49-F238E27FC236}">
                  <a16:creationId xmlns:a16="http://schemas.microsoft.com/office/drawing/2014/main" id="{CA841306-1CCA-B9C7-345A-63ADACD645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4F246E3" w14:textId="77777777" w:rsidR="00AB0A1A" w:rsidRDefault="00AB0A1A" w:rsidP="008B541F">
      <w:pPr>
        <w:pStyle w:val="Default"/>
        <w:rPr>
          <w:rFonts w:asciiTheme="minorHAnsi" w:hAnsiTheme="minorHAnsi"/>
        </w:rPr>
      </w:pPr>
    </w:p>
    <w:p w14:paraId="4B478F01" w14:textId="6B3E7C45" w:rsidR="00AB0A1A" w:rsidRDefault="00A1653D" w:rsidP="00A1653D">
      <w:pPr>
        <w:pStyle w:val="Default"/>
        <w:jc w:val="center"/>
        <w:rPr>
          <w:rFonts w:asciiTheme="minorHAnsi" w:hAnsiTheme="minorHAnsi"/>
        </w:rPr>
      </w:pPr>
      <w:r>
        <w:rPr>
          <w:noProof/>
        </w:rPr>
        <w:drawing>
          <wp:inline distT="0" distB="0" distL="0" distR="0" wp14:anchorId="5732497E" wp14:editId="2EA9A266">
            <wp:extent cx="4572000" cy="2743200"/>
            <wp:effectExtent l="0" t="0" r="0" b="0"/>
            <wp:docPr id="1538031089" name="Chart 1">
              <a:extLst xmlns:a="http://schemas.openxmlformats.org/drawingml/2006/main">
                <a:ext uri="{FF2B5EF4-FFF2-40B4-BE49-F238E27FC236}">
                  <a16:creationId xmlns:a16="http://schemas.microsoft.com/office/drawing/2014/main" id="{3FE2DEB5-B5C1-ADDB-8980-0BC790A532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93BDD9C" w14:textId="34D7C231" w:rsidR="0031162A" w:rsidRDefault="0031162A" w:rsidP="008B541F">
      <w:pPr>
        <w:pStyle w:val="Default"/>
        <w:rPr>
          <w:rFonts w:asciiTheme="minorHAnsi" w:hAnsiTheme="minorHAnsi"/>
        </w:rPr>
      </w:pPr>
    </w:p>
    <w:p w14:paraId="74DD7DFA" w14:textId="57579331" w:rsidR="00A1653D" w:rsidRDefault="00481718" w:rsidP="001D2A8E">
      <w:pPr>
        <w:pStyle w:val="Default"/>
        <w:jc w:val="both"/>
        <w:rPr>
          <w:rFonts w:asciiTheme="minorHAnsi" w:hAnsiTheme="minorHAnsi"/>
        </w:rPr>
      </w:pPr>
      <w:r>
        <w:rPr>
          <w:rFonts w:asciiTheme="minorHAnsi" w:hAnsiTheme="minorHAnsi"/>
        </w:rPr>
        <w:lastRenderedPageBreak/>
        <w:t xml:space="preserve">Of the complaints </w:t>
      </w:r>
      <w:r w:rsidR="003870BE">
        <w:rPr>
          <w:rFonts w:asciiTheme="minorHAnsi" w:hAnsiTheme="minorHAnsi"/>
        </w:rPr>
        <w:t>investigated</w:t>
      </w:r>
      <w:r>
        <w:rPr>
          <w:rFonts w:asciiTheme="minorHAnsi" w:hAnsiTheme="minorHAnsi"/>
        </w:rPr>
        <w:t xml:space="preserve">, </w:t>
      </w:r>
      <w:r w:rsidR="00F86118" w:rsidRPr="00A52DA8">
        <w:rPr>
          <w:rFonts w:asciiTheme="minorHAnsi" w:hAnsiTheme="minorHAnsi"/>
        </w:rPr>
        <w:t>89.</w:t>
      </w:r>
      <w:r w:rsidR="00A52DA8" w:rsidRPr="00A52DA8">
        <w:rPr>
          <w:rFonts w:asciiTheme="minorHAnsi" w:hAnsiTheme="minorHAnsi"/>
        </w:rPr>
        <w:t>13% of complaints were completed within timescale at stage 1</w:t>
      </w:r>
      <w:r>
        <w:rPr>
          <w:rFonts w:asciiTheme="minorHAnsi" w:hAnsiTheme="minorHAnsi"/>
        </w:rPr>
        <w:t xml:space="preserve"> and </w:t>
      </w:r>
      <w:r w:rsidR="001D2A8E">
        <w:rPr>
          <w:rFonts w:asciiTheme="minorHAnsi" w:hAnsiTheme="minorHAnsi"/>
        </w:rPr>
        <w:t>95.36% of complaints were completed within timescale at stage 2.</w:t>
      </w:r>
    </w:p>
    <w:p w14:paraId="3BB72CA3" w14:textId="77777777" w:rsidR="00631FA5" w:rsidRDefault="00631FA5" w:rsidP="001D2A8E">
      <w:pPr>
        <w:pStyle w:val="Default"/>
        <w:jc w:val="both"/>
        <w:rPr>
          <w:rFonts w:asciiTheme="minorHAnsi" w:hAnsiTheme="minorHAnsi"/>
        </w:rPr>
      </w:pPr>
    </w:p>
    <w:p w14:paraId="667C1B88" w14:textId="51399779" w:rsidR="00495834" w:rsidRDefault="00B26580" w:rsidP="001D2A8E">
      <w:pPr>
        <w:pStyle w:val="Default"/>
        <w:jc w:val="both"/>
        <w:rPr>
          <w:rFonts w:asciiTheme="minorHAnsi" w:hAnsiTheme="minorHAnsi"/>
        </w:rPr>
      </w:pPr>
      <w:r>
        <w:rPr>
          <w:rFonts w:asciiTheme="minorHAnsi" w:hAnsiTheme="minorHAnsi"/>
        </w:rPr>
        <w:t>W</w:t>
      </w:r>
      <w:r w:rsidR="00C51243">
        <w:rPr>
          <w:rFonts w:asciiTheme="minorHAnsi" w:hAnsiTheme="minorHAnsi"/>
        </w:rPr>
        <w:t xml:space="preserve">hen complaints are received into South Tyneside Homes, they are </w:t>
      </w:r>
      <w:r w:rsidR="0009355A">
        <w:rPr>
          <w:rFonts w:asciiTheme="minorHAnsi" w:hAnsiTheme="minorHAnsi"/>
        </w:rPr>
        <w:t>logged onto our central Corporate Feedback System and are categorised by</w:t>
      </w:r>
      <w:r w:rsidR="00841B33">
        <w:rPr>
          <w:rFonts w:asciiTheme="minorHAnsi" w:hAnsiTheme="minorHAnsi"/>
        </w:rPr>
        <w:t xml:space="preserve"> reason. There are 9 complaint </w:t>
      </w:r>
      <w:proofErr w:type="gramStart"/>
      <w:r w:rsidR="00841B33">
        <w:rPr>
          <w:rFonts w:asciiTheme="minorHAnsi" w:hAnsiTheme="minorHAnsi"/>
        </w:rPr>
        <w:t>categories</w:t>
      </w:r>
      <w:proofErr w:type="gramEnd"/>
      <w:r w:rsidR="00841B33">
        <w:rPr>
          <w:rFonts w:asciiTheme="minorHAnsi" w:hAnsiTheme="minorHAnsi"/>
        </w:rPr>
        <w:t xml:space="preserve"> </w:t>
      </w:r>
      <w:r w:rsidR="00F531E5">
        <w:rPr>
          <w:rFonts w:asciiTheme="minorHAnsi" w:hAnsiTheme="minorHAnsi"/>
        </w:rPr>
        <w:t xml:space="preserve">and the </w:t>
      </w:r>
      <w:r w:rsidR="0009355A">
        <w:rPr>
          <w:rFonts w:asciiTheme="minorHAnsi" w:hAnsiTheme="minorHAnsi"/>
        </w:rPr>
        <w:t xml:space="preserve">chart below breaks down complaints </w:t>
      </w:r>
      <w:r w:rsidR="00F531E5">
        <w:rPr>
          <w:rFonts w:asciiTheme="minorHAnsi" w:hAnsiTheme="minorHAnsi"/>
        </w:rPr>
        <w:t>by category.</w:t>
      </w:r>
    </w:p>
    <w:p w14:paraId="128F812E" w14:textId="77777777" w:rsidR="00207AC8" w:rsidRDefault="00207AC8" w:rsidP="001D2A8E">
      <w:pPr>
        <w:pStyle w:val="Default"/>
        <w:jc w:val="both"/>
        <w:rPr>
          <w:rFonts w:asciiTheme="minorHAnsi" w:hAnsiTheme="minorHAnsi"/>
        </w:rPr>
      </w:pPr>
    </w:p>
    <w:p w14:paraId="266109FA" w14:textId="77777777" w:rsidR="00495834" w:rsidRDefault="00495834" w:rsidP="001D2A8E">
      <w:pPr>
        <w:pStyle w:val="Default"/>
        <w:jc w:val="both"/>
        <w:rPr>
          <w:rFonts w:asciiTheme="minorHAnsi" w:hAnsiTheme="minorHAnsi"/>
        </w:rPr>
      </w:pPr>
    </w:p>
    <w:p w14:paraId="48A53D33" w14:textId="4E88C5DA" w:rsidR="0009355A" w:rsidRDefault="00F94EBE" w:rsidP="00F94EBE">
      <w:pPr>
        <w:pStyle w:val="Default"/>
        <w:jc w:val="center"/>
        <w:rPr>
          <w:noProof/>
        </w:rPr>
      </w:pPr>
      <w:r>
        <w:rPr>
          <w:noProof/>
        </w:rPr>
        <w:drawing>
          <wp:inline distT="0" distB="0" distL="0" distR="0" wp14:anchorId="098AC8DD" wp14:editId="2C487976">
            <wp:extent cx="4572000" cy="2743200"/>
            <wp:effectExtent l="0" t="0" r="0" b="0"/>
            <wp:docPr id="178315248" name="Chart 1">
              <a:extLst xmlns:a="http://schemas.openxmlformats.org/drawingml/2006/main">
                <a:ext uri="{FF2B5EF4-FFF2-40B4-BE49-F238E27FC236}">
                  <a16:creationId xmlns:a16="http://schemas.microsoft.com/office/drawing/2014/main" id="{5CBC1B02-2410-5426-679F-AB1109FA54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80F0E45" w14:textId="77777777" w:rsidR="003A1466" w:rsidRDefault="003A1466" w:rsidP="003A1466">
      <w:pPr>
        <w:rPr>
          <w:rFonts w:ascii="Arial" w:hAnsi="Arial" w:cs="Arial"/>
          <w:noProof/>
          <w:color w:val="000000"/>
          <w:kern w:val="0"/>
          <w:sz w:val="24"/>
          <w:szCs w:val="24"/>
        </w:rPr>
      </w:pPr>
    </w:p>
    <w:p w14:paraId="746DB63A" w14:textId="58C06918" w:rsidR="003A1466" w:rsidRDefault="003A1466" w:rsidP="0050384A">
      <w:pPr>
        <w:tabs>
          <w:tab w:val="left" w:pos="1400"/>
        </w:tabs>
        <w:jc w:val="both"/>
        <w:rPr>
          <w:sz w:val="24"/>
          <w:szCs w:val="24"/>
        </w:rPr>
      </w:pPr>
      <w:r>
        <w:rPr>
          <w:sz w:val="24"/>
          <w:szCs w:val="24"/>
        </w:rPr>
        <w:t>The chart shows th</w:t>
      </w:r>
      <w:r w:rsidR="00D22274">
        <w:rPr>
          <w:sz w:val="24"/>
          <w:szCs w:val="24"/>
        </w:rPr>
        <w:t xml:space="preserve">e top 3 reasons for complaints </w:t>
      </w:r>
      <w:r w:rsidR="005903F8">
        <w:rPr>
          <w:sz w:val="24"/>
          <w:szCs w:val="24"/>
        </w:rPr>
        <w:t>i</w:t>
      </w:r>
      <w:r w:rsidR="00D22274">
        <w:rPr>
          <w:sz w:val="24"/>
          <w:szCs w:val="24"/>
        </w:rPr>
        <w:t xml:space="preserve">n 2023/2024 </w:t>
      </w:r>
      <w:proofErr w:type="gramStart"/>
      <w:r w:rsidR="00D22274">
        <w:rPr>
          <w:sz w:val="24"/>
          <w:szCs w:val="24"/>
        </w:rPr>
        <w:t>were;</w:t>
      </w:r>
      <w:proofErr w:type="gramEnd"/>
      <w:r w:rsidR="00D22274">
        <w:rPr>
          <w:sz w:val="24"/>
          <w:szCs w:val="24"/>
        </w:rPr>
        <w:t xml:space="preserve"> </w:t>
      </w:r>
      <w:r w:rsidR="00DF6969">
        <w:rPr>
          <w:sz w:val="24"/>
          <w:szCs w:val="24"/>
        </w:rPr>
        <w:t>q</w:t>
      </w:r>
      <w:r w:rsidR="00CA7800">
        <w:rPr>
          <w:sz w:val="24"/>
          <w:szCs w:val="24"/>
        </w:rPr>
        <w:t xml:space="preserve">uality of </w:t>
      </w:r>
      <w:r w:rsidR="00DF6969">
        <w:rPr>
          <w:sz w:val="24"/>
          <w:szCs w:val="24"/>
        </w:rPr>
        <w:t>s</w:t>
      </w:r>
      <w:r w:rsidR="00CA7800">
        <w:rPr>
          <w:sz w:val="24"/>
          <w:szCs w:val="24"/>
        </w:rPr>
        <w:t xml:space="preserve">ervice, </w:t>
      </w:r>
      <w:r w:rsidR="00DF6969">
        <w:rPr>
          <w:sz w:val="24"/>
          <w:szCs w:val="24"/>
        </w:rPr>
        <w:t>s</w:t>
      </w:r>
      <w:r w:rsidR="00CA7800">
        <w:rPr>
          <w:sz w:val="24"/>
          <w:szCs w:val="24"/>
        </w:rPr>
        <w:t xml:space="preserve">ervice agreed but not delivered and </w:t>
      </w:r>
      <w:r w:rsidR="00DF6969">
        <w:rPr>
          <w:sz w:val="24"/>
          <w:szCs w:val="24"/>
        </w:rPr>
        <w:t>d</w:t>
      </w:r>
      <w:r w:rsidR="00CA7800">
        <w:rPr>
          <w:sz w:val="24"/>
          <w:szCs w:val="24"/>
        </w:rPr>
        <w:t xml:space="preserve">elays in providing a service. </w:t>
      </w:r>
      <w:r w:rsidR="001E2962">
        <w:rPr>
          <w:sz w:val="24"/>
          <w:szCs w:val="24"/>
        </w:rPr>
        <w:t xml:space="preserve">Having this knowledge and information allows us to target our resources effectively for service improvements to </w:t>
      </w:r>
      <w:r w:rsidR="0050384A">
        <w:rPr>
          <w:sz w:val="24"/>
          <w:szCs w:val="24"/>
        </w:rPr>
        <w:t>decrease future dissatisfaction in these areas</w:t>
      </w:r>
      <w:r w:rsidR="00985C9B">
        <w:rPr>
          <w:sz w:val="24"/>
          <w:szCs w:val="24"/>
        </w:rPr>
        <w:t xml:space="preserve"> and is evidenced within the ‘Learnings and Service Improvements from Customer Feedback’ section further in this report.</w:t>
      </w:r>
    </w:p>
    <w:p w14:paraId="5BD7C2F5" w14:textId="77777777" w:rsidR="00492938" w:rsidRDefault="00492938" w:rsidP="003A1466">
      <w:pPr>
        <w:tabs>
          <w:tab w:val="left" w:pos="1400"/>
        </w:tabs>
        <w:rPr>
          <w:sz w:val="24"/>
          <w:szCs w:val="24"/>
        </w:rPr>
      </w:pPr>
    </w:p>
    <w:p w14:paraId="00FE1ACB" w14:textId="7CB4A6BD" w:rsidR="00492938" w:rsidRDefault="00492938" w:rsidP="003A1466">
      <w:pPr>
        <w:tabs>
          <w:tab w:val="left" w:pos="1400"/>
        </w:tabs>
        <w:rPr>
          <w:rFonts w:asciiTheme="majorHAnsi" w:hAnsiTheme="majorHAnsi"/>
          <w:b/>
          <w:bCs/>
          <w:sz w:val="36"/>
          <w:szCs w:val="36"/>
        </w:rPr>
      </w:pPr>
      <w:r w:rsidRPr="00492938">
        <w:rPr>
          <w:rFonts w:asciiTheme="majorHAnsi" w:hAnsiTheme="majorHAnsi"/>
          <w:b/>
          <w:bCs/>
          <w:sz w:val="36"/>
          <w:szCs w:val="36"/>
        </w:rPr>
        <w:t>Refused Complaints</w:t>
      </w:r>
    </w:p>
    <w:p w14:paraId="53565A05" w14:textId="16510F13" w:rsidR="00492938" w:rsidRDefault="00DA7C39" w:rsidP="003A1466">
      <w:pPr>
        <w:tabs>
          <w:tab w:val="left" w:pos="1400"/>
        </w:tabs>
        <w:rPr>
          <w:sz w:val="24"/>
          <w:szCs w:val="24"/>
        </w:rPr>
      </w:pPr>
      <w:r>
        <w:rPr>
          <w:sz w:val="24"/>
          <w:szCs w:val="24"/>
        </w:rPr>
        <w:t xml:space="preserve">South Tyneside Homes’ Complaints and Compliments Policy sets out the </w:t>
      </w:r>
      <w:r w:rsidR="001B0E0F">
        <w:rPr>
          <w:sz w:val="24"/>
          <w:szCs w:val="24"/>
        </w:rPr>
        <w:t xml:space="preserve">criteria for complaints which may be refused. </w:t>
      </w:r>
      <w:r w:rsidR="00577232">
        <w:rPr>
          <w:sz w:val="24"/>
          <w:szCs w:val="24"/>
        </w:rPr>
        <w:t>If a complaint is not accepted, the customer will be informed of the reasons why and provided with the contact details for the Housing Ombudsman Service</w:t>
      </w:r>
      <w:r w:rsidR="00380066">
        <w:rPr>
          <w:sz w:val="24"/>
          <w:szCs w:val="24"/>
        </w:rPr>
        <w:t xml:space="preserve"> should they wish to seek their </w:t>
      </w:r>
      <w:r w:rsidR="004C270E">
        <w:rPr>
          <w:sz w:val="24"/>
          <w:szCs w:val="24"/>
        </w:rPr>
        <w:t xml:space="preserve">advice and </w:t>
      </w:r>
      <w:r w:rsidR="0082003C">
        <w:rPr>
          <w:sz w:val="24"/>
          <w:szCs w:val="24"/>
        </w:rPr>
        <w:t>guidance</w:t>
      </w:r>
      <w:r w:rsidR="00380066">
        <w:rPr>
          <w:sz w:val="24"/>
          <w:szCs w:val="24"/>
        </w:rPr>
        <w:t>.</w:t>
      </w:r>
    </w:p>
    <w:p w14:paraId="486E1D1A" w14:textId="4C278020" w:rsidR="00E925A3" w:rsidRDefault="004F18AA" w:rsidP="00E925A3">
      <w:pPr>
        <w:tabs>
          <w:tab w:val="left" w:pos="1400"/>
        </w:tabs>
        <w:rPr>
          <w:sz w:val="24"/>
          <w:szCs w:val="24"/>
        </w:rPr>
      </w:pPr>
      <w:r>
        <w:rPr>
          <w:sz w:val="24"/>
          <w:szCs w:val="24"/>
        </w:rPr>
        <w:t>In 2023/2024, the most common reasons for refusing a complaint were as follows:</w:t>
      </w:r>
    </w:p>
    <w:p w14:paraId="3FE71383" w14:textId="7566183D" w:rsidR="00E925A3" w:rsidRDefault="00E925A3" w:rsidP="00E925A3">
      <w:pPr>
        <w:pStyle w:val="ListParagraph"/>
        <w:numPr>
          <w:ilvl w:val="0"/>
          <w:numId w:val="4"/>
        </w:numPr>
        <w:tabs>
          <w:tab w:val="left" w:pos="1400"/>
        </w:tabs>
        <w:rPr>
          <w:sz w:val="24"/>
          <w:szCs w:val="24"/>
        </w:rPr>
      </w:pPr>
      <w:r>
        <w:rPr>
          <w:sz w:val="24"/>
          <w:szCs w:val="24"/>
        </w:rPr>
        <w:t xml:space="preserve">The complaint had exhausted </w:t>
      </w:r>
      <w:r w:rsidR="00072BB8">
        <w:rPr>
          <w:sz w:val="24"/>
          <w:szCs w:val="24"/>
        </w:rPr>
        <w:t>our</w:t>
      </w:r>
      <w:r>
        <w:rPr>
          <w:sz w:val="24"/>
          <w:szCs w:val="24"/>
        </w:rPr>
        <w:t xml:space="preserve"> two stage complaints process </w:t>
      </w:r>
    </w:p>
    <w:p w14:paraId="108D44A3" w14:textId="43F11B8B" w:rsidR="00E925A3" w:rsidRDefault="00E925A3" w:rsidP="00E925A3">
      <w:pPr>
        <w:pStyle w:val="ListParagraph"/>
        <w:numPr>
          <w:ilvl w:val="0"/>
          <w:numId w:val="4"/>
        </w:numPr>
        <w:tabs>
          <w:tab w:val="left" w:pos="1400"/>
        </w:tabs>
        <w:rPr>
          <w:sz w:val="24"/>
          <w:szCs w:val="24"/>
        </w:rPr>
      </w:pPr>
      <w:r>
        <w:rPr>
          <w:sz w:val="24"/>
          <w:szCs w:val="24"/>
        </w:rPr>
        <w:t xml:space="preserve">The complaint </w:t>
      </w:r>
      <w:r w:rsidR="001D21E4">
        <w:rPr>
          <w:sz w:val="24"/>
          <w:szCs w:val="24"/>
        </w:rPr>
        <w:t xml:space="preserve">was in relation to a service provided by South Tyneside Council </w:t>
      </w:r>
    </w:p>
    <w:p w14:paraId="13B765B5" w14:textId="6DD5BB43" w:rsidR="001D21E4" w:rsidRDefault="00F2171C" w:rsidP="00E925A3">
      <w:pPr>
        <w:pStyle w:val="ListParagraph"/>
        <w:numPr>
          <w:ilvl w:val="0"/>
          <w:numId w:val="4"/>
        </w:numPr>
        <w:tabs>
          <w:tab w:val="left" w:pos="1400"/>
        </w:tabs>
        <w:rPr>
          <w:sz w:val="24"/>
          <w:szCs w:val="24"/>
        </w:rPr>
      </w:pPr>
      <w:r>
        <w:rPr>
          <w:sz w:val="24"/>
          <w:szCs w:val="24"/>
        </w:rPr>
        <w:t>An</w:t>
      </w:r>
      <w:r w:rsidR="0039700A">
        <w:rPr>
          <w:sz w:val="24"/>
          <w:szCs w:val="24"/>
        </w:rPr>
        <w:t xml:space="preserve"> alternative policy or process </w:t>
      </w:r>
      <w:r>
        <w:rPr>
          <w:sz w:val="24"/>
          <w:szCs w:val="24"/>
        </w:rPr>
        <w:t>was required to resolve the issue</w:t>
      </w:r>
      <w:r w:rsidR="0039700A">
        <w:rPr>
          <w:sz w:val="24"/>
          <w:szCs w:val="24"/>
        </w:rPr>
        <w:t>, for example an appeal or review</w:t>
      </w:r>
    </w:p>
    <w:p w14:paraId="28A79575" w14:textId="24B0D0E2" w:rsidR="00F2171C" w:rsidRDefault="004A35F6" w:rsidP="00E925A3">
      <w:pPr>
        <w:pStyle w:val="ListParagraph"/>
        <w:numPr>
          <w:ilvl w:val="0"/>
          <w:numId w:val="4"/>
        </w:numPr>
        <w:tabs>
          <w:tab w:val="left" w:pos="1400"/>
        </w:tabs>
        <w:rPr>
          <w:sz w:val="24"/>
          <w:szCs w:val="24"/>
        </w:rPr>
      </w:pPr>
      <w:r>
        <w:rPr>
          <w:sz w:val="24"/>
          <w:szCs w:val="24"/>
        </w:rPr>
        <w:t>a</w:t>
      </w:r>
      <w:r w:rsidR="00F2171C">
        <w:rPr>
          <w:sz w:val="24"/>
          <w:szCs w:val="24"/>
        </w:rPr>
        <w:t xml:space="preserve"> </w:t>
      </w:r>
      <w:proofErr w:type="gramStart"/>
      <w:r w:rsidR="00F2171C">
        <w:rPr>
          <w:sz w:val="24"/>
          <w:szCs w:val="24"/>
        </w:rPr>
        <w:t>first time</w:t>
      </w:r>
      <w:proofErr w:type="gramEnd"/>
      <w:r w:rsidR="00F2171C">
        <w:rPr>
          <w:sz w:val="24"/>
          <w:szCs w:val="24"/>
        </w:rPr>
        <w:t xml:space="preserve"> request for service</w:t>
      </w:r>
    </w:p>
    <w:p w14:paraId="0905B63B" w14:textId="5B0EFF71" w:rsidR="00D40B96" w:rsidRDefault="00BF0A76" w:rsidP="00E925A3">
      <w:pPr>
        <w:pStyle w:val="ListParagraph"/>
        <w:numPr>
          <w:ilvl w:val="0"/>
          <w:numId w:val="4"/>
        </w:numPr>
        <w:tabs>
          <w:tab w:val="left" w:pos="1400"/>
        </w:tabs>
        <w:rPr>
          <w:sz w:val="24"/>
          <w:szCs w:val="24"/>
        </w:rPr>
      </w:pPr>
      <w:r>
        <w:rPr>
          <w:sz w:val="24"/>
          <w:szCs w:val="24"/>
        </w:rPr>
        <w:t xml:space="preserve">reports </w:t>
      </w:r>
      <w:r w:rsidR="007E461B">
        <w:rPr>
          <w:sz w:val="24"/>
          <w:szCs w:val="24"/>
        </w:rPr>
        <w:t>of anti-social behaviour</w:t>
      </w:r>
    </w:p>
    <w:p w14:paraId="387E299B" w14:textId="47B411B3" w:rsidR="00F2171C" w:rsidRDefault="00D40B96" w:rsidP="00D40B96">
      <w:pPr>
        <w:tabs>
          <w:tab w:val="left" w:pos="1400"/>
        </w:tabs>
        <w:rPr>
          <w:rFonts w:asciiTheme="majorHAnsi" w:hAnsiTheme="majorHAnsi"/>
          <w:b/>
          <w:bCs/>
          <w:sz w:val="36"/>
          <w:szCs w:val="36"/>
        </w:rPr>
      </w:pPr>
      <w:r>
        <w:rPr>
          <w:rFonts w:asciiTheme="majorHAnsi" w:hAnsiTheme="majorHAnsi"/>
          <w:b/>
          <w:bCs/>
          <w:sz w:val="36"/>
          <w:szCs w:val="36"/>
        </w:rPr>
        <w:lastRenderedPageBreak/>
        <w:t>Housing Ombudsman Determinations 2023/2024</w:t>
      </w:r>
    </w:p>
    <w:p w14:paraId="180436E9" w14:textId="605C9235" w:rsidR="00E14D0A" w:rsidRDefault="00A91D54" w:rsidP="00E14D0A">
      <w:pPr>
        <w:tabs>
          <w:tab w:val="left" w:pos="1400"/>
        </w:tabs>
        <w:rPr>
          <w:sz w:val="24"/>
          <w:szCs w:val="24"/>
        </w:rPr>
      </w:pPr>
      <w:r>
        <w:rPr>
          <w:sz w:val="24"/>
          <w:szCs w:val="24"/>
        </w:rPr>
        <w:t xml:space="preserve">South Tyneside Homes received 13 Housing Ombudsman Service </w:t>
      </w:r>
      <w:r w:rsidR="00E14D0A">
        <w:rPr>
          <w:sz w:val="24"/>
          <w:szCs w:val="24"/>
        </w:rPr>
        <w:t>determinations in 2023/2024.</w:t>
      </w:r>
      <w:r w:rsidR="00125F03">
        <w:rPr>
          <w:sz w:val="24"/>
          <w:szCs w:val="24"/>
        </w:rPr>
        <w:t xml:space="preserve"> </w:t>
      </w:r>
    </w:p>
    <w:p w14:paraId="3D17E7B7" w14:textId="0B7B3E60" w:rsidR="009A290C" w:rsidRDefault="009A290C" w:rsidP="00E14D0A">
      <w:pPr>
        <w:tabs>
          <w:tab w:val="left" w:pos="1400"/>
        </w:tabs>
        <w:rPr>
          <w:sz w:val="24"/>
          <w:szCs w:val="24"/>
        </w:rPr>
      </w:pPr>
      <w:r>
        <w:rPr>
          <w:sz w:val="24"/>
          <w:szCs w:val="24"/>
        </w:rPr>
        <w:t>The table below shows the findings of these determinations:</w:t>
      </w:r>
    </w:p>
    <w:tbl>
      <w:tblPr>
        <w:tblStyle w:val="TableGrid"/>
        <w:tblW w:w="0" w:type="auto"/>
        <w:jc w:val="center"/>
        <w:tblLook w:val="04A0" w:firstRow="1" w:lastRow="0" w:firstColumn="1" w:lastColumn="0" w:noHBand="0" w:noVBand="1"/>
      </w:tblPr>
      <w:tblGrid>
        <w:gridCol w:w="4175"/>
        <w:gridCol w:w="796"/>
      </w:tblGrid>
      <w:tr w:rsidR="009A290C" w14:paraId="4EF1B824" w14:textId="77777777" w:rsidTr="0004169D">
        <w:trPr>
          <w:trHeight w:val="357"/>
          <w:jc w:val="center"/>
        </w:trPr>
        <w:tc>
          <w:tcPr>
            <w:tcW w:w="4175" w:type="dxa"/>
          </w:tcPr>
          <w:p w14:paraId="1E3D60D6" w14:textId="4D065673" w:rsidR="009A290C" w:rsidRDefault="009D4DFD" w:rsidP="00E14D0A">
            <w:pPr>
              <w:tabs>
                <w:tab w:val="left" w:pos="1400"/>
              </w:tabs>
              <w:rPr>
                <w:sz w:val="24"/>
                <w:szCs w:val="24"/>
              </w:rPr>
            </w:pPr>
            <w:r>
              <w:rPr>
                <w:sz w:val="24"/>
                <w:szCs w:val="24"/>
              </w:rPr>
              <w:t>Maladministration</w:t>
            </w:r>
          </w:p>
        </w:tc>
        <w:tc>
          <w:tcPr>
            <w:tcW w:w="796" w:type="dxa"/>
          </w:tcPr>
          <w:p w14:paraId="33B8ADD6" w14:textId="072F5F89" w:rsidR="009A290C" w:rsidRDefault="009D4DFD" w:rsidP="00E14D0A">
            <w:pPr>
              <w:tabs>
                <w:tab w:val="left" w:pos="1400"/>
              </w:tabs>
              <w:rPr>
                <w:sz w:val="24"/>
                <w:szCs w:val="24"/>
              </w:rPr>
            </w:pPr>
            <w:r>
              <w:rPr>
                <w:sz w:val="24"/>
                <w:szCs w:val="24"/>
              </w:rPr>
              <w:t>2</w:t>
            </w:r>
          </w:p>
        </w:tc>
      </w:tr>
      <w:tr w:rsidR="009A290C" w14:paraId="21CD78DA" w14:textId="77777777" w:rsidTr="0004169D">
        <w:trPr>
          <w:trHeight w:val="369"/>
          <w:jc w:val="center"/>
        </w:trPr>
        <w:tc>
          <w:tcPr>
            <w:tcW w:w="4175" w:type="dxa"/>
          </w:tcPr>
          <w:p w14:paraId="2A322F45" w14:textId="70CBA813" w:rsidR="009A290C" w:rsidRDefault="009D4DFD" w:rsidP="00E14D0A">
            <w:pPr>
              <w:tabs>
                <w:tab w:val="left" w:pos="1400"/>
              </w:tabs>
              <w:rPr>
                <w:sz w:val="24"/>
                <w:szCs w:val="24"/>
              </w:rPr>
            </w:pPr>
            <w:r>
              <w:rPr>
                <w:sz w:val="24"/>
                <w:szCs w:val="24"/>
              </w:rPr>
              <w:t>Partial Maladministration</w:t>
            </w:r>
          </w:p>
        </w:tc>
        <w:tc>
          <w:tcPr>
            <w:tcW w:w="796" w:type="dxa"/>
          </w:tcPr>
          <w:p w14:paraId="624C3D03" w14:textId="5B34ED9D" w:rsidR="009A290C" w:rsidRDefault="00E147E5" w:rsidP="00E14D0A">
            <w:pPr>
              <w:tabs>
                <w:tab w:val="left" w:pos="1400"/>
              </w:tabs>
              <w:rPr>
                <w:sz w:val="24"/>
                <w:szCs w:val="24"/>
              </w:rPr>
            </w:pPr>
            <w:r>
              <w:rPr>
                <w:sz w:val="24"/>
                <w:szCs w:val="24"/>
              </w:rPr>
              <w:t>5</w:t>
            </w:r>
          </w:p>
        </w:tc>
      </w:tr>
      <w:tr w:rsidR="009A290C" w14:paraId="5F1CB128" w14:textId="77777777" w:rsidTr="0004169D">
        <w:trPr>
          <w:trHeight w:val="357"/>
          <w:jc w:val="center"/>
        </w:trPr>
        <w:tc>
          <w:tcPr>
            <w:tcW w:w="4175" w:type="dxa"/>
          </w:tcPr>
          <w:p w14:paraId="62A21816" w14:textId="1939D88A" w:rsidR="009A290C" w:rsidRDefault="00E147E5" w:rsidP="00E14D0A">
            <w:pPr>
              <w:tabs>
                <w:tab w:val="left" w:pos="1400"/>
              </w:tabs>
              <w:rPr>
                <w:sz w:val="24"/>
                <w:szCs w:val="24"/>
              </w:rPr>
            </w:pPr>
            <w:r>
              <w:rPr>
                <w:sz w:val="24"/>
                <w:szCs w:val="24"/>
              </w:rPr>
              <w:t>No Maladministration</w:t>
            </w:r>
          </w:p>
        </w:tc>
        <w:tc>
          <w:tcPr>
            <w:tcW w:w="796" w:type="dxa"/>
          </w:tcPr>
          <w:p w14:paraId="7F82FC79" w14:textId="188C84D1" w:rsidR="009A290C" w:rsidRDefault="00E147E5" w:rsidP="00E14D0A">
            <w:pPr>
              <w:tabs>
                <w:tab w:val="left" w:pos="1400"/>
              </w:tabs>
              <w:rPr>
                <w:sz w:val="24"/>
                <w:szCs w:val="24"/>
              </w:rPr>
            </w:pPr>
            <w:r>
              <w:rPr>
                <w:sz w:val="24"/>
                <w:szCs w:val="24"/>
              </w:rPr>
              <w:t>1</w:t>
            </w:r>
          </w:p>
        </w:tc>
      </w:tr>
      <w:tr w:rsidR="009A290C" w14:paraId="03CA9C8E" w14:textId="77777777" w:rsidTr="0004169D">
        <w:trPr>
          <w:trHeight w:val="357"/>
          <w:jc w:val="center"/>
        </w:trPr>
        <w:tc>
          <w:tcPr>
            <w:tcW w:w="4175" w:type="dxa"/>
          </w:tcPr>
          <w:p w14:paraId="6AC52777" w14:textId="5602EB8E" w:rsidR="009A290C" w:rsidRDefault="00E147E5" w:rsidP="00E14D0A">
            <w:pPr>
              <w:tabs>
                <w:tab w:val="left" w:pos="1400"/>
              </w:tabs>
              <w:rPr>
                <w:sz w:val="24"/>
                <w:szCs w:val="24"/>
              </w:rPr>
            </w:pPr>
            <w:r>
              <w:rPr>
                <w:sz w:val="24"/>
                <w:szCs w:val="24"/>
              </w:rPr>
              <w:t>Redress</w:t>
            </w:r>
          </w:p>
        </w:tc>
        <w:tc>
          <w:tcPr>
            <w:tcW w:w="796" w:type="dxa"/>
          </w:tcPr>
          <w:p w14:paraId="2887FB90" w14:textId="491378C8" w:rsidR="009A290C" w:rsidRDefault="00E147E5" w:rsidP="00E14D0A">
            <w:pPr>
              <w:tabs>
                <w:tab w:val="left" w:pos="1400"/>
              </w:tabs>
              <w:rPr>
                <w:sz w:val="24"/>
                <w:szCs w:val="24"/>
              </w:rPr>
            </w:pPr>
            <w:r>
              <w:rPr>
                <w:sz w:val="24"/>
                <w:szCs w:val="24"/>
              </w:rPr>
              <w:t>2</w:t>
            </w:r>
          </w:p>
        </w:tc>
      </w:tr>
      <w:tr w:rsidR="009A290C" w14:paraId="74AB43BD" w14:textId="77777777" w:rsidTr="0004169D">
        <w:trPr>
          <w:trHeight w:val="357"/>
          <w:jc w:val="center"/>
        </w:trPr>
        <w:tc>
          <w:tcPr>
            <w:tcW w:w="4175" w:type="dxa"/>
          </w:tcPr>
          <w:p w14:paraId="0EE4B3E1" w14:textId="7548E94F" w:rsidR="009A290C" w:rsidRDefault="00E147E5" w:rsidP="00E14D0A">
            <w:pPr>
              <w:tabs>
                <w:tab w:val="left" w:pos="1400"/>
              </w:tabs>
              <w:rPr>
                <w:sz w:val="24"/>
                <w:szCs w:val="24"/>
              </w:rPr>
            </w:pPr>
            <w:r>
              <w:rPr>
                <w:sz w:val="24"/>
                <w:szCs w:val="24"/>
              </w:rPr>
              <w:t>Outside Jurisdiction</w:t>
            </w:r>
          </w:p>
        </w:tc>
        <w:tc>
          <w:tcPr>
            <w:tcW w:w="796" w:type="dxa"/>
          </w:tcPr>
          <w:p w14:paraId="76D56C5E" w14:textId="3DB30A5C" w:rsidR="009A290C" w:rsidRDefault="00E147E5" w:rsidP="00E14D0A">
            <w:pPr>
              <w:tabs>
                <w:tab w:val="left" w:pos="1400"/>
              </w:tabs>
              <w:rPr>
                <w:sz w:val="24"/>
                <w:szCs w:val="24"/>
              </w:rPr>
            </w:pPr>
            <w:r>
              <w:rPr>
                <w:sz w:val="24"/>
                <w:szCs w:val="24"/>
              </w:rPr>
              <w:t>3</w:t>
            </w:r>
          </w:p>
        </w:tc>
      </w:tr>
    </w:tbl>
    <w:p w14:paraId="3D3D492B" w14:textId="77777777" w:rsidR="009A290C" w:rsidRDefault="009A290C" w:rsidP="00E14D0A">
      <w:pPr>
        <w:tabs>
          <w:tab w:val="left" w:pos="1400"/>
        </w:tabs>
        <w:rPr>
          <w:sz w:val="24"/>
          <w:szCs w:val="24"/>
        </w:rPr>
      </w:pPr>
    </w:p>
    <w:p w14:paraId="2DCD8C91" w14:textId="1B4C1BBC" w:rsidR="001842E1" w:rsidRDefault="001842E1" w:rsidP="00E14D0A">
      <w:pPr>
        <w:tabs>
          <w:tab w:val="left" w:pos="1400"/>
        </w:tabs>
        <w:rPr>
          <w:sz w:val="24"/>
          <w:szCs w:val="24"/>
        </w:rPr>
      </w:pPr>
      <w:r>
        <w:rPr>
          <w:sz w:val="24"/>
          <w:szCs w:val="24"/>
        </w:rPr>
        <w:t>The Housing Ombudsman Service define their findings as follows:</w:t>
      </w:r>
    </w:p>
    <w:p w14:paraId="73036624" w14:textId="2DF1BE3A" w:rsidR="00C567DD" w:rsidRPr="00C567DD" w:rsidRDefault="00C567DD" w:rsidP="00C567DD">
      <w:pPr>
        <w:numPr>
          <w:ilvl w:val="0"/>
          <w:numId w:val="5"/>
        </w:numPr>
        <w:tabs>
          <w:tab w:val="left" w:pos="1400"/>
        </w:tabs>
        <w:rPr>
          <w:sz w:val="24"/>
          <w:szCs w:val="24"/>
        </w:rPr>
      </w:pPr>
      <w:r w:rsidRPr="00C567DD">
        <w:rPr>
          <w:b/>
          <w:bCs/>
          <w:sz w:val="24"/>
          <w:szCs w:val="24"/>
        </w:rPr>
        <w:t>Maladministration </w:t>
      </w:r>
      <w:r w:rsidRPr="00C567DD">
        <w:rPr>
          <w:sz w:val="24"/>
          <w:szCs w:val="24"/>
        </w:rPr>
        <w:t xml:space="preserve">– where the landlord, for example, has failed to comply with its legal obligations, its policies and procedures or unreasonably delayed in dealing with the matter. </w:t>
      </w:r>
    </w:p>
    <w:p w14:paraId="647265A4" w14:textId="77777777" w:rsidR="00C567DD" w:rsidRPr="00C567DD" w:rsidRDefault="00C567DD" w:rsidP="00C567DD">
      <w:pPr>
        <w:numPr>
          <w:ilvl w:val="0"/>
          <w:numId w:val="5"/>
        </w:numPr>
        <w:tabs>
          <w:tab w:val="left" w:pos="1400"/>
        </w:tabs>
        <w:rPr>
          <w:sz w:val="24"/>
          <w:szCs w:val="24"/>
        </w:rPr>
      </w:pPr>
      <w:r w:rsidRPr="00C567DD">
        <w:rPr>
          <w:b/>
          <w:bCs/>
          <w:sz w:val="24"/>
          <w:szCs w:val="24"/>
        </w:rPr>
        <w:t>Partial Maladministration </w:t>
      </w:r>
      <w:r w:rsidRPr="00C567DD">
        <w:rPr>
          <w:sz w:val="24"/>
          <w:szCs w:val="24"/>
        </w:rPr>
        <w:t>– where there are multiple findings following investigation within one determination and at least one, but not all, of these is maladministration</w:t>
      </w:r>
    </w:p>
    <w:p w14:paraId="13B23A71" w14:textId="77777777" w:rsidR="00C567DD" w:rsidRPr="00C567DD" w:rsidRDefault="00C567DD" w:rsidP="00C567DD">
      <w:pPr>
        <w:numPr>
          <w:ilvl w:val="0"/>
          <w:numId w:val="5"/>
        </w:numPr>
        <w:tabs>
          <w:tab w:val="left" w:pos="1400"/>
        </w:tabs>
        <w:rPr>
          <w:sz w:val="24"/>
          <w:szCs w:val="24"/>
        </w:rPr>
      </w:pPr>
      <w:r w:rsidRPr="00C567DD">
        <w:rPr>
          <w:b/>
          <w:bCs/>
          <w:sz w:val="24"/>
          <w:szCs w:val="24"/>
        </w:rPr>
        <w:t>No Maladministration</w:t>
      </w:r>
      <w:r w:rsidRPr="00C567DD">
        <w:rPr>
          <w:i/>
          <w:iCs/>
          <w:sz w:val="24"/>
          <w:szCs w:val="24"/>
        </w:rPr>
        <w:t> </w:t>
      </w:r>
      <w:r w:rsidRPr="00C567DD">
        <w:rPr>
          <w:sz w:val="24"/>
          <w:szCs w:val="24"/>
        </w:rPr>
        <w:t>– where the landlord is found to have acted appropriately</w:t>
      </w:r>
    </w:p>
    <w:p w14:paraId="3778D02D" w14:textId="77777777" w:rsidR="00C567DD" w:rsidRPr="00C567DD" w:rsidRDefault="00C567DD" w:rsidP="00C567DD">
      <w:pPr>
        <w:numPr>
          <w:ilvl w:val="0"/>
          <w:numId w:val="5"/>
        </w:numPr>
        <w:tabs>
          <w:tab w:val="left" w:pos="1400"/>
        </w:tabs>
        <w:rPr>
          <w:sz w:val="24"/>
          <w:szCs w:val="24"/>
        </w:rPr>
      </w:pPr>
      <w:r w:rsidRPr="00C567DD">
        <w:rPr>
          <w:b/>
          <w:bCs/>
          <w:sz w:val="24"/>
          <w:szCs w:val="24"/>
        </w:rPr>
        <w:t>Redress</w:t>
      </w:r>
      <w:r w:rsidRPr="00C567DD">
        <w:rPr>
          <w:sz w:val="24"/>
          <w:szCs w:val="24"/>
        </w:rPr>
        <w:t> – where the landlord made redress to the resident which resolved the complaint satisfactorily in the Ombudsman’s opinion</w:t>
      </w:r>
    </w:p>
    <w:p w14:paraId="48199786" w14:textId="6BFA18B2" w:rsidR="00C567DD" w:rsidRDefault="00C567DD" w:rsidP="00C567DD">
      <w:pPr>
        <w:numPr>
          <w:ilvl w:val="0"/>
          <w:numId w:val="5"/>
        </w:numPr>
        <w:tabs>
          <w:tab w:val="left" w:pos="1400"/>
        </w:tabs>
        <w:rPr>
          <w:sz w:val="24"/>
          <w:szCs w:val="24"/>
        </w:rPr>
      </w:pPr>
      <w:r w:rsidRPr="00C567DD">
        <w:rPr>
          <w:b/>
          <w:bCs/>
          <w:sz w:val="24"/>
          <w:szCs w:val="24"/>
        </w:rPr>
        <w:t>Outside Jurisdiction</w:t>
      </w:r>
      <w:r w:rsidRPr="00C567DD">
        <w:rPr>
          <w:sz w:val="24"/>
          <w:szCs w:val="24"/>
        </w:rPr>
        <w:t> – where the Ombudsman did not have the authority to investigate. This could be for a variety of reasons including: the complaint had not been made within a reasonable timescale; the complaint did not meet the conditions of our Scheme; or the matter was more appropriately dealt with by the courts, a tribunal, another complaint handling body or regulator.</w:t>
      </w:r>
    </w:p>
    <w:p w14:paraId="2A9CBF5E" w14:textId="5B93543D" w:rsidR="00DF1151" w:rsidRDefault="00962392" w:rsidP="00962392">
      <w:pPr>
        <w:tabs>
          <w:tab w:val="left" w:pos="1400"/>
        </w:tabs>
        <w:jc w:val="both"/>
        <w:rPr>
          <w:sz w:val="24"/>
          <w:szCs w:val="24"/>
        </w:rPr>
      </w:pPr>
      <w:r>
        <w:rPr>
          <w:sz w:val="24"/>
          <w:szCs w:val="24"/>
        </w:rPr>
        <w:t>South Tyneside Homes</w:t>
      </w:r>
      <w:r w:rsidRPr="00962392">
        <w:rPr>
          <w:sz w:val="24"/>
          <w:szCs w:val="24"/>
        </w:rPr>
        <w:t xml:space="preserve"> complied with all evidence requests and submitted relevant information to the H</w:t>
      </w:r>
      <w:r>
        <w:rPr>
          <w:sz w:val="24"/>
          <w:szCs w:val="24"/>
        </w:rPr>
        <w:t>ousing Ombudsman Service</w:t>
      </w:r>
      <w:r w:rsidRPr="00962392">
        <w:rPr>
          <w:sz w:val="24"/>
          <w:szCs w:val="24"/>
        </w:rPr>
        <w:t xml:space="preserve"> to help with their investigations. All orders and recommendations have been actioned.</w:t>
      </w:r>
    </w:p>
    <w:p w14:paraId="7C050665" w14:textId="01DA7806" w:rsidR="00B756E9" w:rsidRPr="00B756E9" w:rsidRDefault="006C5949" w:rsidP="00B756E9">
      <w:pPr>
        <w:tabs>
          <w:tab w:val="left" w:pos="1400"/>
        </w:tabs>
        <w:jc w:val="both"/>
        <w:rPr>
          <w:sz w:val="24"/>
          <w:szCs w:val="24"/>
        </w:rPr>
      </w:pPr>
      <w:r>
        <w:rPr>
          <w:sz w:val="24"/>
          <w:szCs w:val="24"/>
        </w:rPr>
        <w:t>The Housing Ombudsman Service also issued</w:t>
      </w:r>
      <w:r w:rsidR="00274912">
        <w:rPr>
          <w:sz w:val="24"/>
          <w:szCs w:val="24"/>
        </w:rPr>
        <w:t xml:space="preserve"> South Tyneside Homes with</w:t>
      </w:r>
      <w:r>
        <w:rPr>
          <w:sz w:val="24"/>
          <w:szCs w:val="24"/>
        </w:rPr>
        <w:t xml:space="preserve"> a </w:t>
      </w:r>
      <w:r w:rsidR="00B9332F">
        <w:rPr>
          <w:sz w:val="24"/>
          <w:szCs w:val="24"/>
        </w:rPr>
        <w:t>‘Landlord Performance Report 2022/2023’</w:t>
      </w:r>
      <w:r w:rsidR="00B5055A">
        <w:rPr>
          <w:sz w:val="24"/>
          <w:szCs w:val="24"/>
        </w:rPr>
        <w:t xml:space="preserve">. Within this report, South Tyneside Homes had a maladministration rate of </w:t>
      </w:r>
      <w:r w:rsidR="00876A02">
        <w:rPr>
          <w:sz w:val="24"/>
          <w:szCs w:val="24"/>
        </w:rPr>
        <w:t xml:space="preserve">28% - which was below the national maladministration rate of 55%. The Housing Ombudsman Service commented </w:t>
      </w:r>
      <w:r w:rsidR="00B756E9" w:rsidRPr="00B756E9">
        <w:rPr>
          <w:i/>
          <w:iCs/>
          <w:sz w:val="24"/>
          <w:szCs w:val="24"/>
        </w:rPr>
        <w:t>‘The landlord performed very well when compared to similar landlords by size and type.’</w:t>
      </w:r>
    </w:p>
    <w:p w14:paraId="0DA88917" w14:textId="67D353BD" w:rsidR="00962392" w:rsidRPr="00C567DD" w:rsidRDefault="00962392" w:rsidP="00962392">
      <w:pPr>
        <w:tabs>
          <w:tab w:val="left" w:pos="1400"/>
        </w:tabs>
        <w:jc w:val="both"/>
        <w:rPr>
          <w:sz w:val="24"/>
          <w:szCs w:val="24"/>
        </w:rPr>
      </w:pPr>
    </w:p>
    <w:p w14:paraId="4D1B7B9F" w14:textId="77777777" w:rsidR="001842E1" w:rsidRDefault="001842E1" w:rsidP="00E14D0A">
      <w:pPr>
        <w:tabs>
          <w:tab w:val="left" w:pos="1400"/>
        </w:tabs>
        <w:rPr>
          <w:sz w:val="24"/>
          <w:szCs w:val="24"/>
        </w:rPr>
      </w:pPr>
    </w:p>
    <w:p w14:paraId="1B185739" w14:textId="774C8734" w:rsidR="00E76548" w:rsidRDefault="007D086B" w:rsidP="00E14D0A">
      <w:pPr>
        <w:tabs>
          <w:tab w:val="left" w:pos="1400"/>
        </w:tabs>
        <w:rPr>
          <w:rFonts w:asciiTheme="majorHAnsi" w:hAnsiTheme="majorHAnsi"/>
          <w:b/>
          <w:bCs/>
          <w:sz w:val="36"/>
          <w:szCs w:val="36"/>
        </w:rPr>
      </w:pPr>
      <w:r w:rsidRPr="007D086B">
        <w:rPr>
          <w:rFonts w:asciiTheme="majorHAnsi" w:hAnsiTheme="majorHAnsi"/>
          <w:b/>
          <w:bCs/>
          <w:sz w:val="36"/>
          <w:szCs w:val="36"/>
        </w:rPr>
        <w:lastRenderedPageBreak/>
        <w:t>Learning</w:t>
      </w:r>
      <w:r w:rsidR="009F086C">
        <w:rPr>
          <w:rFonts w:asciiTheme="majorHAnsi" w:hAnsiTheme="majorHAnsi"/>
          <w:b/>
          <w:bCs/>
          <w:sz w:val="36"/>
          <w:szCs w:val="36"/>
        </w:rPr>
        <w:t>s</w:t>
      </w:r>
      <w:r w:rsidRPr="007D086B">
        <w:rPr>
          <w:rFonts w:asciiTheme="majorHAnsi" w:hAnsiTheme="majorHAnsi"/>
          <w:b/>
          <w:bCs/>
          <w:sz w:val="36"/>
          <w:szCs w:val="36"/>
        </w:rPr>
        <w:t xml:space="preserve"> and Service Improvements</w:t>
      </w:r>
      <w:r w:rsidR="003B380B">
        <w:rPr>
          <w:rFonts w:asciiTheme="majorHAnsi" w:hAnsiTheme="majorHAnsi"/>
          <w:b/>
          <w:bCs/>
          <w:sz w:val="36"/>
          <w:szCs w:val="36"/>
        </w:rPr>
        <w:t xml:space="preserve"> from Customer Feedback</w:t>
      </w:r>
    </w:p>
    <w:p w14:paraId="3C448B33" w14:textId="501FB2D3" w:rsidR="003C17BB" w:rsidRDefault="003C17BB" w:rsidP="00464BCC">
      <w:pPr>
        <w:tabs>
          <w:tab w:val="left" w:pos="1400"/>
        </w:tabs>
        <w:jc w:val="both"/>
        <w:rPr>
          <w:sz w:val="24"/>
          <w:szCs w:val="24"/>
        </w:rPr>
      </w:pPr>
      <w:r>
        <w:rPr>
          <w:sz w:val="24"/>
          <w:szCs w:val="24"/>
        </w:rPr>
        <w:t xml:space="preserve">South Tyneside Homes is </w:t>
      </w:r>
      <w:r w:rsidR="00AE2ADF">
        <w:rPr>
          <w:sz w:val="24"/>
          <w:szCs w:val="24"/>
        </w:rPr>
        <w:t>dedicated</w:t>
      </w:r>
      <w:r>
        <w:rPr>
          <w:sz w:val="24"/>
          <w:szCs w:val="24"/>
        </w:rPr>
        <w:t xml:space="preserve"> to listening to and learning from customer feedback</w:t>
      </w:r>
      <w:r w:rsidR="00B54440">
        <w:rPr>
          <w:sz w:val="24"/>
          <w:szCs w:val="24"/>
        </w:rPr>
        <w:t xml:space="preserve">. </w:t>
      </w:r>
      <w:r w:rsidR="0081537B">
        <w:rPr>
          <w:sz w:val="24"/>
          <w:szCs w:val="24"/>
        </w:rPr>
        <w:t>We value feedback from</w:t>
      </w:r>
      <w:r w:rsidR="009E6C94">
        <w:rPr>
          <w:sz w:val="24"/>
          <w:szCs w:val="24"/>
        </w:rPr>
        <w:t xml:space="preserve"> all</w:t>
      </w:r>
      <w:r w:rsidR="0081537B">
        <w:rPr>
          <w:sz w:val="24"/>
          <w:szCs w:val="24"/>
        </w:rPr>
        <w:t xml:space="preserve"> our customers</w:t>
      </w:r>
      <w:r w:rsidR="009E6C94">
        <w:rPr>
          <w:sz w:val="24"/>
          <w:szCs w:val="24"/>
        </w:rPr>
        <w:t xml:space="preserve"> as it helps us to identify areas where our services can be improved.</w:t>
      </w:r>
      <w:r w:rsidR="0081537B">
        <w:rPr>
          <w:sz w:val="24"/>
          <w:szCs w:val="24"/>
        </w:rPr>
        <w:t xml:space="preserve"> </w:t>
      </w:r>
      <w:r w:rsidR="00B54440">
        <w:rPr>
          <w:sz w:val="24"/>
          <w:szCs w:val="24"/>
        </w:rPr>
        <w:t xml:space="preserve">As a result, service improvements were implemented across all service areas in 2023/2024 to </w:t>
      </w:r>
      <w:r w:rsidR="00464BCC">
        <w:rPr>
          <w:sz w:val="24"/>
          <w:szCs w:val="24"/>
        </w:rPr>
        <w:t xml:space="preserve">enhance the customer </w:t>
      </w:r>
      <w:r w:rsidR="002A069E">
        <w:rPr>
          <w:sz w:val="24"/>
          <w:szCs w:val="24"/>
        </w:rPr>
        <w:t>experience</w:t>
      </w:r>
      <w:r w:rsidR="00464BCC">
        <w:rPr>
          <w:sz w:val="24"/>
          <w:szCs w:val="24"/>
        </w:rPr>
        <w:t xml:space="preserve"> provided to our customers.</w:t>
      </w:r>
    </w:p>
    <w:p w14:paraId="220B1BAC" w14:textId="2268FA05" w:rsidR="00BF21C8" w:rsidRDefault="009A1E97" w:rsidP="00C658C0">
      <w:pPr>
        <w:pStyle w:val="ListParagraph"/>
        <w:numPr>
          <w:ilvl w:val="0"/>
          <w:numId w:val="5"/>
        </w:numPr>
        <w:spacing w:after="0" w:line="240" w:lineRule="auto"/>
        <w:contextualSpacing w:val="0"/>
        <w:jc w:val="both"/>
        <w:rPr>
          <w:rFonts w:eastAsia="Times New Roman"/>
          <w:sz w:val="24"/>
          <w:szCs w:val="24"/>
        </w:rPr>
      </w:pPr>
      <w:r>
        <w:rPr>
          <w:rFonts w:eastAsia="Times New Roman"/>
          <w:sz w:val="24"/>
          <w:szCs w:val="24"/>
        </w:rPr>
        <w:t>C</w:t>
      </w:r>
      <w:r w:rsidR="00BF21C8" w:rsidRPr="009A1E97">
        <w:rPr>
          <w:rFonts w:eastAsia="Times New Roman"/>
          <w:sz w:val="24"/>
          <w:szCs w:val="24"/>
        </w:rPr>
        <w:t>reated a new sign</w:t>
      </w:r>
      <w:r w:rsidR="007000B3">
        <w:rPr>
          <w:rFonts w:eastAsia="Times New Roman"/>
          <w:sz w:val="24"/>
          <w:szCs w:val="24"/>
        </w:rPr>
        <w:t>-</w:t>
      </w:r>
      <w:r w:rsidR="00BF21C8" w:rsidRPr="009A1E97">
        <w:rPr>
          <w:rFonts w:eastAsia="Times New Roman"/>
          <w:sz w:val="24"/>
          <w:szCs w:val="24"/>
        </w:rPr>
        <w:t xml:space="preserve">up checklist &amp; Income Information Disclaimer to ensure all relevant information </w:t>
      </w:r>
      <w:r w:rsidR="004A3C44">
        <w:rPr>
          <w:rFonts w:eastAsia="Times New Roman"/>
          <w:sz w:val="24"/>
          <w:szCs w:val="24"/>
        </w:rPr>
        <w:t>is</w:t>
      </w:r>
      <w:r w:rsidR="00BF21C8" w:rsidRPr="009A1E97">
        <w:rPr>
          <w:rFonts w:eastAsia="Times New Roman"/>
          <w:sz w:val="24"/>
          <w:szCs w:val="24"/>
        </w:rPr>
        <w:t xml:space="preserve"> provided at the </w:t>
      </w:r>
      <w:proofErr w:type="gramStart"/>
      <w:r w:rsidR="00BF21C8" w:rsidRPr="009A1E97">
        <w:rPr>
          <w:rFonts w:eastAsia="Times New Roman"/>
          <w:sz w:val="24"/>
          <w:szCs w:val="24"/>
        </w:rPr>
        <w:t>sign up</w:t>
      </w:r>
      <w:proofErr w:type="gramEnd"/>
      <w:r w:rsidR="004A3C44">
        <w:rPr>
          <w:rFonts w:eastAsia="Times New Roman"/>
          <w:sz w:val="24"/>
          <w:szCs w:val="24"/>
        </w:rPr>
        <w:t xml:space="preserve"> stage</w:t>
      </w:r>
      <w:r w:rsidR="00BF21C8" w:rsidRPr="009A1E97">
        <w:rPr>
          <w:rFonts w:eastAsia="Times New Roman"/>
          <w:sz w:val="24"/>
          <w:szCs w:val="24"/>
        </w:rPr>
        <w:t xml:space="preserve"> and agreed to</w:t>
      </w:r>
    </w:p>
    <w:p w14:paraId="799AA8BB" w14:textId="77777777" w:rsidR="009A1E97" w:rsidRPr="009A1E97" w:rsidRDefault="009A1E97" w:rsidP="00C658C0">
      <w:pPr>
        <w:pStyle w:val="ListParagraph"/>
        <w:spacing w:after="0" w:line="240" w:lineRule="auto"/>
        <w:contextualSpacing w:val="0"/>
        <w:jc w:val="both"/>
        <w:rPr>
          <w:rFonts w:eastAsia="Times New Roman"/>
          <w:sz w:val="24"/>
          <w:szCs w:val="24"/>
        </w:rPr>
      </w:pPr>
    </w:p>
    <w:p w14:paraId="1F3164C3" w14:textId="59B01E74" w:rsidR="00BF21C8" w:rsidRDefault="009A1E97" w:rsidP="00C658C0">
      <w:pPr>
        <w:pStyle w:val="ListParagraph"/>
        <w:numPr>
          <w:ilvl w:val="0"/>
          <w:numId w:val="5"/>
        </w:numPr>
        <w:spacing w:after="0" w:line="240" w:lineRule="auto"/>
        <w:contextualSpacing w:val="0"/>
        <w:jc w:val="both"/>
        <w:rPr>
          <w:rFonts w:eastAsia="Times New Roman"/>
          <w:sz w:val="24"/>
          <w:szCs w:val="24"/>
        </w:rPr>
      </w:pPr>
      <w:r>
        <w:rPr>
          <w:rFonts w:eastAsia="Times New Roman"/>
          <w:sz w:val="24"/>
          <w:szCs w:val="24"/>
        </w:rPr>
        <w:t>T</w:t>
      </w:r>
      <w:r w:rsidR="004A3C44">
        <w:rPr>
          <w:rFonts w:eastAsia="Times New Roman"/>
          <w:sz w:val="24"/>
          <w:szCs w:val="24"/>
        </w:rPr>
        <w:t>he allocations team took</w:t>
      </w:r>
      <w:r w:rsidR="00BF21C8" w:rsidRPr="009A1E97">
        <w:rPr>
          <w:rFonts w:eastAsia="Times New Roman"/>
          <w:sz w:val="24"/>
          <w:szCs w:val="24"/>
        </w:rPr>
        <w:t xml:space="preserve"> on 1 month Tenant Support Visits to be able to provide a more fluid and personable service to new tenants and ensure what was agreed at sign up was followed through</w:t>
      </w:r>
    </w:p>
    <w:p w14:paraId="76DC12C8" w14:textId="77777777" w:rsidR="009A1E97" w:rsidRPr="009A1E97" w:rsidRDefault="009A1E97" w:rsidP="00C658C0">
      <w:pPr>
        <w:pStyle w:val="ListParagraph"/>
        <w:jc w:val="both"/>
        <w:rPr>
          <w:rFonts w:eastAsia="Times New Roman"/>
          <w:sz w:val="24"/>
          <w:szCs w:val="24"/>
        </w:rPr>
      </w:pPr>
    </w:p>
    <w:p w14:paraId="0EEEB680" w14:textId="18A14366" w:rsidR="009A1E97" w:rsidRDefault="008E20F6" w:rsidP="00C658C0">
      <w:pPr>
        <w:pStyle w:val="ListParagraph"/>
        <w:numPr>
          <w:ilvl w:val="0"/>
          <w:numId w:val="5"/>
        </w:numPr>
        <w:spacing w:after="0" w:line="240" w:lineRule="auto"/>
        <w:contextualSpacing w:val="0"/>
        <w:jc w:val="both"/>
        <w:rPr>
          <w:rFonts w:eastAsia="Times New Roman"/>
          <w:sz w:val="24"/>
          <w:szCs w:val="24"/>
        </w:rPr>
      </w:pPr>
      <w:r>
        <w:rPr>
          <w:rFonts w:eastAsia="Times New Roman"/>
          <w:sz w:val="24"/>
          <w:szCs w:val="24"/>
        </w:rPr>
        <w:t>E</w:t>
      </w:r>
      <w:r w:rsidRPr="008E20F6">
        <w:rPr>
          <w:rFonts w:eastAsia="Times New Roman"/>
          <w:sz w:val="24"/>
          <w:szCs w:val="24"/>
        </w:rPr>
        <w:t xml:space="preserve">xtended the </w:t>
      </w:r>
      <w:proofErr w:type="gramStart"/>
      <w:r w:rsidRPr="008E20F6">
        <w:rPr>
          <w:rFonts w:eastAsia="Times New Roman"/>
          <w:sz w:val="24"/>
          <w:szCs w:val="24"/>
        </w:rPr>
        <w:t>amount</w:t>
      </w:r>
      <w:proofErr w:type="gramEnd"/>
      <w:r w:rsidRPr="008E20F6">
        <w:rPr>
          <w:rFonts w:eastAsia="Times New Roman"/>
          <w:sz w:val="24"/>
          <w:szCs w:val="24"/>
        </w:rPr>
        <w:t xml:space="preserve"> of Homeless Units within South Tyneside and also worked with 2 hoteliers in the borough to develop a pathway into their accommodation and set up an invoicing payment program</w:t>
      </w:r>
    </w:p>
    <w:p w14:paraId="3468F39F" w14:textId="77777777" w:rsidR="008E20F6" w:rsidRPr="008E20F6" w:rsidRDefault="008E20F6" w:rsidP="00C658C0">
      <w:pPr>
        <w:pStyle w:val="ListParagraph"/>
        <w:jc w:val="both"/>
        <w:rPr>
          <w:rFonts w:eastAsia="Times New Roman"/>
          <w:sz w:val="24"/>
          <w:szCs w:val="24"/>
        </w:rPr>
      </w:pPr>
    </w:p>
    <w:p w14:paraId="24D5AD60" w14:textId="17DC3F6B" w:rsidR="008E20F6" w:rsidRDefault="00430B98" w:rsidP="00C658C0">
      <w:pPr>
        <w:pStyle w:val="ListParagraph"/>
        <w:numPr>
          <w:ilvl w:val="0"/>
          <w:numId w:val="5"/>
        </w:numPr>
        <w:spacing w:after="0" w:line="240" w:lineRule="auto"/>
        <w:contextualSpacing w:val="0"/>
        <w:jc w:val="both"/>
        <w:rPr>
          <w:rFonts w:eastAsia="Times New Roman"/>
          <w:sz w:val="24"/>
          <w:szCs w:val="24"/>
        </w:rPr>
      </w:pPr>
      <w:r w:rsidRPr="00430B98">
        <w:rPr>
          <w:rFonts w:eastAsia="Times New Roman"/>
          <w:sz w:val="24"/>
          <w:szCs w:val="24"/>
        </w:rPr>
        <w:t>Due to increasing the amount of temp</w:t>
      </w:r>
      <w:r>
        <w:rPr>
          <w:rFonts w:eastAsia="Times New Roman"/>
          <w:sz w:val="24"/>
          <w:szCs w:val="24"/>
        </w:rPr>
        <w:t>orary</w:t>
      </w:r>
      <w:r w:rsidRPr="00430B98">
        <w:rPr>
          <w:rFonts w:eastAsia="Times New Roman"/>
          <w:sz w:val="24"/>
          <w:szCs w:val="24"/>
        </w:rPr>
        <w:t xml:space="preserve"> accommodation</w:t>
      </w:r>
      <w:r>
        <w:rPr>
          <w:rFonts w:eastAsia="Times New Roman"/>
          <w:sz w:val="24"/>
          <w:szCs w:val="24"/>
        </w:rPr>
        <w:t xml:space="preserve"> available,</w:t>
      </w:r>
      <w:r w:rsidRPr="00430B98">
        <w:rPr>
          <w:rFonts w:eastAsia="Times New Roman"/>
          <w:sz w:val="24"/>
          <w:szCs w:val="24"/>
        </w:rPr>
        <w:t xml:space="preserve"> we have employed a Temp</w:t>
      </w:r>
      <w:r>
        <w:rPr>
          <w:rFonts w:eastAsia="Times New Roman"/>
          <w:sz w:val="24"/>
          <w:szCs w:val="24"/>
        </w:rPr>
        <w:t>orary</w:t>
      </w:r>
      <w:r w:rsidRPr="00430B98">
        <w:rPr>
          <w:rFonts w:eastAsia="Times New Roman"/>
          <w:sz w:val="24"/>
          <w:szCs w:val="24"/>
        </w:rPr>
        <w:t xml:space="preserve"> Accommodation Co-ordinator to ensure the welfare of the customers and the integrity of the properties</w:t>
      </w:r>
    </w:p>
    <w:p w14:paraId="3ACA72A0" w14:textId="77777777" w:rsidR="00430B98" w:rsidRPr="00430B98" w:rsidRDefault="00430B98" w:rsidP="00C658C0">
      <w:pPr>
        <w:pStyle w:val="ListParagraph"/>
        <w:jc w:val="both"/>
        <w:rPr>
          <w:rFonts w:eastAsia="Times New Roman"/>
          <w:sz w:val="24"/>
          <w:szCs w:val="24"/>
        </w:rPr>
      </w:pPr>
    </w:p>
    <w:p w14:paraId="3B3A59C0" w14:textId="1FFA35AC" w:rsidR="001C1B1B" w:rsidRDefault="006D462D" w:rsidP="00C658C0">
      <w:pPr>
        <w:pStyle w:val="ListParagraph"/>
        <w:numPr>
          <w:ilvl w:val="0"/>
          <w:numId w:val="5"/>
        </w:numPr>
        <w:jc w:val="both"/>
        <w:rPr>
          <w:color w:val="000000" w:themeColor="text1"/>
          <w:sz w:val="24"/>
          <w:szCs w:val="24"/>
        </w:rPr>
      </w:pPr>
      <w:r w:rsidRPr="006D462D">
        <w:rPr>
          <w:color w:val="000000" w:themeColor="text1"/>
          <w:sz w:val="24"/>
          <w:szCs w:val="24"/>
        </w:rPr>
        <w:t>To ensure the customers can access the correct information / advice and be given access to the Homeless service, a Housing Options Officer is situated and available at</w:t>
      </w:r>
      <w:r>
        <w:rPr>
          <w:color w:val="000000" w:themeColor="text1"/>
          <w:sz w:val="24"/>
          <w:szCs w:val="24"/>
        </w:rPr>
        <w:t xml:space="preserve"> our office at</w:t>
      </w:r>
      <w:r w:rsidRPr="006D462D">
        <w:rPr>
          <w:color w:val="000000" w:themeColor="text1"/>
          <w:sz w:val="24"/>
          <w:szCs w:val="24"/>
        </w:rPr>
        <w:t xml:space="preserve"> the Town Hall daily</w:t>
      </w:r>
    </w:p>
    <w:p w14:paraId="0313DABF" w14:textId="77777777" w:rsidR="0052379E" w:rsidRPr="0052379E" w:rsidRDefault="0052379E" w:rsidP="00C658C0">
      <w:pPr>
        <w:pStyle w:val="ListParagraph"/>
        <w:jc w:val="both"/>
        <w:rPr>
          <w:color w:val="000000" w:themeColor="text1"/>
          <w:sz w:val="24"/>
          <w:szCs w:val="24"/>
        </w:rPr>
      </w:pPr>
    </w:p>
    <w:p w14:paraId="35150955" w14:textId="5A52B96E" w:rsidR="0052379E" w:rsidRDefault="0052379E" w:rsidP="00C658C0">
      <w:pPr>
        <w:pStyle w:val="ListParagraph"/>
        <w:numPr>
          <w:ilvl w:val="0"/>
          <w:numId w:val="5"/>
        </w:numPr>
        <w:jc w:val="both"/>
        <w:rPr>
          <w:color w:val="000000" w:themeColor="text1"/>
          <w:sz w:val="24"/>
          <w:szCs w:val="24"/>
        </w:rPr>
      </w:pPr>
      <w:r>
        <w:rPr>
          <w:color w:val="000000" w:themeColor="text1"/>
          <w:sz w:val="24"/>
          <w:szCs w:val="24"/>
        </w:rPr>
        <w:t>Due to increase in demand for accommodation for care experience young people, we have developed a bespoke program to run alongside the ‘Stay Close’ programme</w:t>
      </w:r>
      <w:r w:rsidR="00C94A58">
        <w:rPr>
          <w:color w:val="000000" w:themeColor="text1"/>
          <w:sz w:val="24"/>
          <w:szCs w:val="24"/>
        </w:rPr>
        <w:t xml:space="preserve"> and to further develop and improve the Corporate Parenting approach with South Tyneside Council</w:t>
      </w:r>
    </w:p>
    <w:p w14:paraId="66A4852B" w14:textId="77777777" w:rsidR="00C94A58" w:rsidRPr="00C94A58" w:rsidRDefault="00C94A58" w:rsidP="00C94A58">
      <w:pPr>
        <w:pStyle w:val="ListParagraph"/>
        <w:rPr>
          <w:color w:val="000000" w:themeColor="text1"/>
          <w:sz w:val="24"/>
          <w:szCs w:val="24"/>
        </w:rPr>
      </w:pPr>
    </w:p>
    <w:p w14:paraId="0560BE6A" w14:textId="5972E74C" w:rsidR="004F4A17" w:rsidRDefault="004F4A17" w:rsidP="004F4A17">
      <w:pPr>
        <w:pStyle w:val="ListParagraph"/>
        <w:numPr>
          <w:ilvl w:val="0"/>
          <w:numId w:val="5"/>
        </w:numPr>
        <w:jc w:val="both"/>
        <w:rPr>
          <w:color w:val="000000" w:themeColor="text1"/>
          <w:sz w:val="24"/>
          <w:szCs w:val="24"/>
        </w:rPr>
      </w:pPr>
      <w:r>
        <w:rPr>
          <w:color w:val="000000" w:themeColor="text1"/>
          <w:sz w:val="24"/>
          <w:szCs w:val="24"/>
        </w:rPr>
        <w:t>Our Health and Housing Team r</w:t>
      </w:r>
      <w:r w:rsidRPr="004F4A17">
        <w:rPr>
          <w:color w:val="000000" w:themeColor="text1"/>
          <w:sz w:val="24"/>
          <w:szCs w:val="24"/>
        </w:rPr>
        <w:t xml:space="preserve">eviewed </w:t>
      </w:r>
      <w:r>
        <w:rPr>
          <w:color w:val="000000" w:themeColor="text1"/>
          <w:sz w:val="24"/>
          <w:szCs w:val="24"/>
        </w:rPr>
        <w:t xml:space="preserve">their </w:t>
      </w:r>
      <w:r w:rsidRPr="004F4A17">
        <w:rPr>
          <w:color w:val="000000" w:themeColor="text1"/>
          <w:sz w:val="24"/>
          <w:szCs w:val="24"/>
        </w:rPr>
        <w:t>assessment process and reduced the waiting times by over 20 days on average</w:t>
      </w:r>
    </w:p>
    <w:p w14:paraId="050F89DF" w14:textId="77777777" w:rsidR="004F4A17" w:rsidRPr="004F4A17" w:rsidRDefault="004F4A17" w:rsidP="004F4A17">
      <w:pPr>
        <w:pStyle w:val="ListParagraph"/>
        <w:rPr>
          <w:color w:val="000000" w:themeColor="text1"/>
          <w:sz w:val="24"/>
          <w:szCs w:val="24"/>
        </w:rPr>
      </w:pPr>
    </w:p>
    <w:p w14:paraId="24A03F57" w14:textId="7B5CE3CE" w:rsidR="00F32C75" w:rsidRDefault="00F32C75" w:rsidP="00F32C75">
      <w:pPr>
        <w:pStyle w:val="ListParagraph"/>
        <w:numPr>
          <w:ilvl w:val="0"/>
          <w:numId w:val="5"/>
        </w:numPr>
        <w:jc w:val="both"/>
        <w:rPr>
          <w:color w:val="000000" w:themeColor="text1"/>
          <w:sz w:val="24"/>
          <w:szCs w:val="24"/>
        </w:rPr>
      </w:pPr>
      <w:r w:rsidRPr="00F32C75">
        <w:rPr>
          <w:color w:val="000000" w:themeColor="text1"/>
          <w:sz w:val="24"/>
          <w:szCs w:val="24"/>
        </w:rPr>
        <w:t xml:space="preserve">Developed a </w:t>
      </w:r>
      <w:proofErr w:type="gramStart"/>
      <w:r w:rsidRPr="00F32C75">
        <w:rPr>
          <w:color w:val="000000" w:themeColor="text1"/>
          <w:sz w:val="24"/>
          <w:szCs w:val="24"/>
        </w:rPr>
        <w:t>Quality of Life</w:t>
      </w:r>
      <w:proofErr w:type="gramEnd"/>
      <w:r w:rsidRPr="00F32C75">
        <w:rPr>
          <w:color w:val="000000" w:themeColor="text1"/>
          <w:sz w:val="24"/>
          <w:szCs w:val="24"/>
        </w:rPr>
        <w:t xml:space="preserve"> Assessment to measure customer impact</w:t>
      </w:r>
    </w:p>
    <w:p w14:paraId="3D0ED106" w14:textId="77777777" w:rsidR="00F32C75" w:rsidRPr="00F32C75" w:rsidRDefault="00F32C75" w:rsidP="00F32C75">
      <w:pPr>
        <w:pStyle w:val="ListParagraph"/>
        <w:rPr>
          <w:color w:val="000000" w:themeColor="text1"/>
          <w:sz w:val="24"/>
          <w:szCs w:val="24"/>
        </w:rPr>
      </w:pPr>
    </w:p>
    <w:p w14:paraId="69F69A39" w14:textId="77777777" w:rsidR="00F32C75" w:rsidRDefault="00F32C75" w:rsidP="00F32C75">
      <w:pPr>
        <w:pStyle w:val="ListParagraph"/>
        <w:numPr>
          <w:ilvl w:val="0"/>
          <w:numId w:val="5"/>
        </w:numPr>
        <w:jc w:val="both"/>
        <w:rPr>
          <w:color w:val="000000" w:themeColor="text1"/>
          <w:sz w:val="24"/>
          <w:szCs w:val="24"/>
        </w:rPr>
      </w:pPr>
      <w:r w:rsidRPr="00F32C75">
        <w:rPr>
          <w:color w:val="000000" w:themeColor="text1"/>
          <w:sz w:val="24"/>
          <w:szCs w:val="24"/>
        </w:rPr>
        <w:t xml:space="preserve">Commenced training with all </w:t>
      </w:r>
      <w:proofErr w:type="gramStart"/>
      <w:r w:rsidRPr="00F32C75">
        <w:rPr>
          <w:color w:val="000000" w:themeColor="text1"/>
          <w:sz w:val="24"/>
          <w:szCs w:val="24"/>
        </w:rPr>
        <w:t>teams</w:t>
      </w:r>
      <w:proofErr w:type="gramEnd"/>
      <w:r w:rsidRPr="00F32C75">
        <w:rPr>
          <w:color w:val="000000" w:themeColor="text1"/>
          <w:sz w:val="24"/>
          <w:szCs w:val="24"/>
        </w:rPr>
        <w:t xml:space="preserve"> members trained to become Trusted Assessors</w:t>
      </w:r>
    </w:p>
    <w:p w14:paraId="4F1379D1" w14:textId="77777777" w:rsidR="00F32C75" w:rsidRPr="00F32C75" w:rsidRDefault="00F32C75" w:rsidP="00F32C75">
      <w:pPr>
        <w:pStyle w:val="ListParagraph"/>
        <w:jc w:val="both"/>
        <w:rPr>
          <w:color w:val="000000" w:themeColor="text1"/>
          <w:sz w:val="24"/>
          <w:szCs w:val="24"/>
        </w:rPr>
      </w:pPr>
    </w:p>
    <w:p w14:paraId="49F5A92A" w14:textId="77777777" w:rsidR="00F32C75" w:rsidRDefault="00F32C75" w:rsidP="00F32C75">
      <w:pPr>
        <w:pStyle w:val="ListParagraph"/>
        <w:numPr>
          <w:ilvl w:val="0"/>
          <w:numId w:val="5"/>
        </w:numPr>
        <w:jc w:val="both"/>
        <w:rPr>
          <w:color w:val="000000" w:themeColor="text1"/>
          <w:sz w:val="24"/>
          <w:szCs w:val="24"/>
        </w:rPr>
      </w:pPr>
      <w:r w:rsidRPr="00F32C75">
        <w:rPr>
          <w:color w:val="000000" w:themeColor="text1"/>
          <w:sz w:val="24"/>
          <w:szCs w:val="24"/>
        </w:rPr>
        <w:t>Reviewed arrangements with Adult Social Care to improve partnership with Occupational Therapy and implement new Assistance Policy</w:t>
      </w:r>
    </w:p>
    <w:p w14:paraId="1C673BEF" w14:textId="77777777" w:rsidR="00F32C75" w:rsidRPr="00F32C75" w:rsidRDefault="00F32C75" w:rsidP="00F32C75">
      <w:pPr>
        <w:pStyle w:val="ListParagraph"/>
        <w:jc w:val="both"/>
        <w:rPr>
          <w:color w:val="000000" w:themeColor="text1"/>
          <w:sz w:val="24"/>
          <w:szCs w:val="24"/>
        </w:rPr>
      </w:pPr>
    </w:p>
    <w:p w14:paraId="7BE606C4" w14:textId="7B6C2941" w:rsidR="00F32C75" w:rsidRPr="00F32C75" w:rsidRDefault="00F32C75" w:rsidP="006A5473">
      <w:pPr>
        <w:pStyle w:val="ListParagraph"/>
        <w:numPr>
          <w:ilvl w:val="0"/>
          <w:numId w:val="5"/>
        </w:numPr>
        <w:jc w:val="both"/>
        <w:rPr>
          <w:color w:val="000000" w:themeColor="text1"/>
          <w:sz w:val="24"/>
          <w:szCs w:val="24"/>
        </w:rPr>
      </w:pPr>
      <w:r w:rsidRPr="00F32C75">
        <w:rPr>
          <w:color w:val="000000" w:themeColor="text1"/>
          <w:sz w:val="24"/>
          <w:szCs w:val="24"/>
        </w:rPr>
        <w:lastRenderedPageBreak/>
        <w:t>Continue to focus on reducing wait times for assessment and modernise the pre tenancy support service documentation and delivery of home visiting</w:t>
      </w:r>
    </w:p>
    <w:p w14:paraId="55B42B17" w14:textId="77777777" w:rsidR="00F32C75" w:rsidRPr="00F32C75" w:rsidRDefault="00F32C75" w:rsidP="00F32C75">
      <w:pPr>
        <w:pStyle w:val="ListParagraph"/>
        <w:jc w:val="both"/>
        <w:rPr>
          <w:color w:val="000000" w:themeColor="text1"/>
          <w:sz w:val="24"/>
          <w:szCs w:val="24"/>
        </w:rPr>
      </w:pPr>
    </w:p>
    <w:p w14:paraId="50BC20A6" w14:textId="77777777" w:rsidR="00F32C75" w:rsidRDefault="00F32C75" w:rsidP="00F32C75">
      <w:pPr>
        <w:pStyle w:val="ListParagraph"/>
        <w:numPr>
          <w:ilvl w:val="0"/>
          <w:numId w:val="5"/>
        </w:numPr>
        <w:jc w:val="both"/>
        <w:rPr>
          <w:color w:val="000000" w:themeColor="text1"/>
          <w:sz w:val="24"/>
          <w:szCs w:val="24"/>
        </w:rPr>
      </w:pPr>
      <w:r w:rsidRPr="00F32C75">
        <w:rPr>
          <w:color w:val="000000" w:themeColor="text1"/>
          <w:sz w:val="24"/>
          <w:szCs w:val="24"/>
        </w:rPr>
        <w:t xml:space="preserve">Continue to embed new ways of working with Adult Social Care and solidify a more streamlined service with potential dual home visits on complex cases and shared access to information reduce spend on adaptations which can be solved with rehousing to an existing adapted property </w:t>
      </w:r>
    </w:p>
    <w:p w14:paraId="199E2124" w14:textId="77777777" w:rsidR="009B0E31" w:rsidRPr="009B0E31" w:rsidRDefault="009B0E31" w:rsidP="009B0E31">
      <w:pPr>
        <w:pStyle w:val="ListParagraph"/>
        <w:rPr>
          <w:color w:val="000000" w:themeColor="text1"/>
          <w:sz w:val="24"/>
          <w:szCs w:val="24"/>
        </w:rPr>
      </w:pPr>
    </w:p>
    <w:p w14:paraId="288E84E0" w14:textId="74C0BD39" w:rsidR="00CF34FE" w:rsidRDefault="00CF34FE" w:rsidP="009D2C65">
      <w:pPr>
        <w:pStyle w:val="ListParagraph"/>
        <w:numPr>
          <w:ilvl w:val="0"/>
          <w:numId w:val="5"/>
        </w:numPr>
        <w:spacing w:after="0" w:line="240" w:lineRule="auto"/>
        <w:contextualSpacing w:val="0"/>
        <w:jc w:val="both"/>
        <w:rPr>
          <w:rFonts w:eastAsia="Times New Roman"/>
          <w:sz w:val="24"/>
          <w:szCs w:val="24"/>
          <w:lang w:eastAsia="en-GB"/>
        </w:rPr>
      </w:pPr>
      <w:r>
        <w:rPr>
          <w:rFonts w:eastAsia="Times New Roman"/>
          <w:sz w:val="24"/>
          <w:szCs w:val="24"/>
          <w:lang w:eastAsia="en-GB"/>
        </w:rPr>
        <w:t xml:space="preserve">Our Repairs service </w:t>
      </w:r>
      <w:r w:rsidR="00E21248">
        <w:rPr>
          <w:rFonts w:eastAsia="Times New Roman"/>
          <w:sz w:val="24"/>
          <w:szCs w:val="24"/>
          <w:lang w:eastAsia="en-GB"/>
        </w:rPr>
        <w:t>created c</w:t>
      </w:r>
      <w:r>
        <w:rPr>
          <w:rFonts w:eastAsia="Times New Roman"/>
          <w:sz w:val="24"/>
          <w:szCs w:val="24"/>
          <w:lang w:eastAsia="en-GB"/>
        </w:rPr>
        <w:t>entralised records in Microsoft Teams for interdepartmental working, to improve cross team communication and communication with customers in relation to timescales for the completion of work, and information about the team undertaking the work</w:t>
      </w:r>
    </w:p>
    <w:p w14:paraId="7E8C52C6" w14:textId="77777777" w:rsidR="00CF34FE" w:rsidRDefault="00CF34FE" w:rsidP="009D2C65">
      <w:pPr>
        <w:jc w:val="both"/>
        <w:rPr>
          <w:sz w:val="24"/>
          <w:szCs w:val="24"/>
          <w:lang w:eastAsia="en-GB"/>
        </w:rPr>
      </w:pPr>
    </w:p>
    <w:p w14:paraId="6850681E" w14:textId="6B1C2FD4" w:rsidR="00CF34FE" w:rsidRDefault="00CF34FE" w:rsidP="009D2C65">
      <w:pPr>
        <w:pStyle w:val="ListParagraph"/>
        <w:numPr>
          <w:ilvl w:val="0"/>
          <w:numId w:val="5"/>
        </w:numPr>
        <w:spacing w:after="0" w:line="240" w:lineRule="auto"/>
        <w:contextualSpacing w:val="0"/>
        <w:jc w:val="both"/>
        <w:rPr>
          <w:rFonts w:eastAsia="Times New Roman"/>
          <w:sz w:val="24"/>
          <w:szCs w:val="24"/>
          <w:lang w:eastAsia="en-GB"/>
        </w:rPr>
      </w:pPr>
      <w:r>
        <w:rPr>
          <w:rFonts w:eastAsia="Times New Roman"/>
          <w:sz w:val="24"/>
          <w:szCs w:val="24"/>
          <w:lang w:eastAsia="en-GB"/>
        </w:rPr>
        <w:t>Implementation of work record sheet for all operatives working from run</w:t>
      </w:r>
      <w:r w:rsidR="00E97A8D">
        <w:rPr>
          <w:rFonts w:eastAsia="Times New Roman"/>
          <w:sz w:val="24"/>
          <w:szCs w:val="24"/>
          <w:lang w:eastAsia="en-GB"/>
        </w:rPr>
        <w:t>-</w:t>
      </w:r>
      <w:r>
        <w:rPr>
          <w:rFonts w:eastAsia="Times New Roman"/>
          <w:sz w:val="24"/>
          <w:szCs w:val="24"/>
          <w:lang w:eastAsia="en-GB"/>
        </w:rPr>
        <w:t>sheets and working out of hours, this ensures that the Mobile Working Planner is provided with all job completion detail, and follow-on work required, to improve the timeliness of actioning of follow-on work and improved commun</w:t>
      </w:r>
      <w:r w:rsidR="00E2784C">
        <w:rPr>
          <w:rFonts w:eastAsia="Times New Roman"/>
          <w:sz w:val="24"/>
          <w:szCs w:val="24"/>
          <w:lang w:eastAsia="en-GB"/>
        </w:rPr>
        <w:t>i</w:t>
      </w:r>
      <w:r>
        <w:rPr>
          <w:rFonts w:eastAsia="Times New Roman"/>
          <w:sz w:val="24"/>
          <w:szCs w:val="24"/>
          <w:lang w:eastAsia="en-GB"/>
        </w:rPr>
        <w:t>cation with our customers</w:t>
      </w:r>
    </w:p>
    <w:p w14:paraId="6FB74034" w14:textId="77777777" w:rsidR="00CF34FE" w:rsidRDefault="00CF34FE" w:rsidP="009D2C65">
      <w:pPr>
        <w:jc w:val="both"/>
        <w:rPr>
          <w:sz w:val="24"/>
          <w:szCs w:val="24"/>
          <w:lang w:eastAsia="en-GB"/>
        </w:rPr>
      </w:pPr>
    </w:p>
    <w:p w14:paraId="64270E03" w14:textId="09EC4397" w:rsidR="00CF34FE" w:rsidRDefault="00CF34FE" w:rsidP="009D2C65">
      <w:pPr>
        <w:pStyle w:val="ListParagraph"/>
        <w:numPr>
          <w:ilvl w:val="0"/>
          <w:numId w:val="5"/>
        </w:numPr>
        <w:spacing w:after="0" w:line="240" w:lineRule="auto"/>
        <w:contextualSpacing w:val="0"/>
        <w:jc w:val="both"/>
        <w:rPr>
          <w:rFonts w:eastAsia="Times New Roman"/>
          <w:sz w:val="24"/>
          <w:szCs w:val="24"/>
          <w:lang w:eastAsia="en-GB"/>
        </w:rPr>
      </w:pPr>
      <w:r>
        <w:rPr>
          <w:rFonts w:eastAsia="Times New Roman"/>
          <w:sz w:val="24"/>
          <w:szCs w:val="24"/>
          <w:lang w:eastAsia="en-GB"/>
        </w:rPr>
        <w:t xml:space="preserve">Insurance claims were taking too long to be resolved, and an escalation process has been implemented for </w:t>
      </w:r>
      <w:r w:rsidR="009D2C65">
        <w:rPr>
          <w:rFonts w:eastAsia="Times New Roman"/>
          <w:sz w:val="24"/>
          <w:szCs w:val="24"/>
          <w:lang w:eastAsia="en-GB"/>
        </w:rPr>
        <w:t>‘</w:t>
      </w:r>
      <w:r>
        <w:rPr>
          <w:rFonts w:eastAsia="Times New Roman"/>
          <w:sz w:val="24"/>
          <w:szCs w:val="24"/>
          <w:lang w:eastAsia="en-GB"/>
        </w:rPr>
        <w:t>at fault</w:t>
      </w:r>
      <w:r w:rsidR="009D2C65">
        <w:rPr>
          <w:rFonts w:eastAsia="Times New Roman"/>
          <w:sz w:val="24"/>
          <w:szCs w:val="24"/>
          <w:lang w:eastAsia="en-GB"/>
        </w:rPr>
        <w:t>’</w:t>
      </w:r>
      <w:r>
        <w:rPr>
          <w:rFonts w:eastAsia="Times New Roman"/>
          <w:sz w:val="24"/>
          <w:szCs w:val="24"/>
          <w:lang w:eastAsia="en-GB"/>
        </w:rPr>
        <w:t xml:space="preserve"> instances where damages occur to customers posse</w:t>
      </w:r>
      <w:r w:rsidR="00E2784C">
        <w:rPr>
          <w:rFonts w:eastAsia="Times New Roman"/>
          <w:sz w:val="24"/>
          <w:szCs w:val="24"/>
          <w:lang w:eastAsia="en-GB"/>
        </w:rPr>
        <w:t>s</w:t>
      </w:r>
      <w:r>
        <w:rPr>
          <w:rFonts w:eastAsia="Times New Roman"/>
          <w:sz w:val="24"/>
          <w:szCs w:val="24"/>
          <w:lang w:eastAsia="en-GB"/>
        </w:rPr>
        <w:t>sions and property, prior to directing customers to the insurance claim route. This will ensure the right route is taken and reduce the time customers wait for resolution, where we acknowledge damage was caused by us</w:t>
      </w:r>
    </w:p>
    <w:p w14:paraId="4951847F" w14:textId="77777777" w:rsidR="00CF34FE" w:rsidRDefault="00CF34FE" w:rsidP="009D2C65">
      <w:pPr>
        <w:jc w:val="both"/>
        <w:rPr>
          <w:sz w:val="24"/>
          <w:szCs w:val="24"/>
          <w:lang w:eastAsia="en-GB"/>
        </w:rPr>
      </w:pPr>
    </w:p>
    <w:p w14:paraId="5754DC32" w14:textId="39531453" w:rsidR="00CF34FE" w:rsidRDefault="00CF34FE" w:rsidP="009D2C65">
      <w:pPr>
        <w:pStyle w:val="ListParagraph"/>
        <w:numPr>
          <w:ilvl w:val="0"/>
          <w:numId w:val="5"/>
        </w:numPr>
        <w:spacing w:after="0" w:line="240" w:lineRule="auto"/>
        <w:contextualSpacing w:val="0"/>
        <w:jc w:val="both"/>
        <w:rPr>
          <w:rFonts w:eastAsia="Times New Roman"/>
          <w:sz w:val="24"/>
          <w:szCs w:val="24"/>
          <w:lang w:eastAsia="en-GB"/>
        </w:rPr>
      </w:pPr>
      <w:r>
        <w:rPr>
          <w:rFonts w:eastAsia="Times New Roman"/>
          <w:sz w:val="24"/>
          <w:szCs w:val="24"/>
          <w:lang w:eastAsia="en-GB"/>
        </w:rPr>
        <w:t>Centralised records created in Microsoft Teams for the management of scaffold within the Repairs service, this process improves record keeping and assists in identifying scaffold responsibility promptly when dealing with customer queries and complaints</w:t>
      </w:r>
    </w:p>
    <w:p w14:paraId="42674293" w14:textId="77777777" w:rsidR="00E2784C" w:rsidRPr="00E2784C" w:rsidRDefault="00E2784C" w:rsidP="00E2784C">
      <w:pPr>
        <w:pStyle w:val="ListParagraph"/>
        <w:rPr>
          <w:rFonts w:eastAsia="Times New Roman"/>
          <w:sz w:val="24"/>
          <w:szCs w:val="24"/>
          <w:lang w:eastAsia="en-GB"/>
        </w:rPr>
      </w:pPr>
    </w:p>
    <w:p w14:paraId="748FF77A" w14:textId="7AA5F761" w:rsidR="00A8188C" w:rsidRPr="00A8188C" w:rsidRDefault="000147C6" w:rsidP="00A8188C">
      <w:pPr>
        <w:pStyle w:val="ListParagraph"/>
        <w:numPr>
          <w:ilvl w:val="0"/>
          <w:numId w:val="5"/>
        </w:numPr>
        <w:spacing w:after="0" w:line="240" w:lineRule="auto"/>
        <w:contextualSpacing w:val="0"/>
        <w:jc w:val="both"/>
        <w:rPr>
          <w:rFonts w:eastAsia="Times New Roman"/>
          <w:sz w:val="24"/>
          <w:szCs w:val="24"/>
        </w:rPr>
      </w:pPr>
      <w:r>
        <w:rPr>
          <w:rFonts w:eastAsia="Times New Roman"/>
          <w:sz w:val="24"/>
          <w:szCs w:val="24"/>
        </w:rPr>
        <w:t>Our Housing Service Centre implemented a n</w:t>
      </w:r>
      <w:r w:rsidR="00A8188C" w:rsidRPr="00A8188C">
        <w:rPr>
          <w:rFonts w:eastAsia="Times New Roman"/>
          <w:sz w:val="24"/>
          <w:szCs w:val="24"/>
        </w:rPr>
        <w:t>ew contact request and escalation process which means more customers are receiving calls backs within timescales and we have a better way of tracking and monitoring the requests that are falling outside of the timescales which can then be performance managed internally</w:t>
      </w:r>
    </w:p>
    <w:p w14:paraId="5215F25D" w14:textId="77777777" w:rsidR="00A8188C" w:rsidRPr="00A8188C" w:rsidRDefault="00A8188C" w:rsidP="00A8188C">
      <w:pPr>
        <w:jc w:val="both"/>
        <w:rPr>
          <w:sz w:val="24"/>
          <w:szCs w:val="24"/>
        </w:rPr>
      </w:pPr>
    </w:p>
    <w:p w14:paraId="2EFFBB1E" w14:textId="165985FB" w:rsidR="00A8188C" w:rsidRPr="00A8188C" w:rsidRDefault="008F2DAB" w:rsidP="00A8188C">
      <w:pPr>
        <w:pStyle w:val="ListParagraph"/>
        <w:numPr>
          <w:ilvl w:val="0"/>
          <w:numId w:val="5"/>
        </w:numPr>
        <w:spacing w:after="0" w:line="240" w:lineRule="auto"/>
        <w:contextualSpacing w:val="0"/>
        <w:jc w:val="both"/>
        <w:rPr>
          <w:rFonts w:eastAsia="Times New Roman"/>
          <w:sz w:val="24"/>
          <w:szCs w:val="24"/>
        </w:rPr>
      </w:pPr>
      <w:r>
        <w:rPr>
          <w:rFonts w:eastAsia="Times New Roman"/>
          <w:sz w:val="24"/>
          <w:szCs w:val="24"/>
        </w:rPr>
        <w:t>Our Housing Service Centre have developed a centralised ‘</w:t>
      </w:r>
      <w:r w:rsidR="00A8188C" w:rsidRPr="00A8188C">
        <w:rPr>
          <w:rFonts w:eastAsia="Times New Roman"/>
          <w:sz w:val="24"/>
          <w:szCs w:val="24"/>
        </w:rPr>
        <w:t xml:space="preserve">Knowledge </w:t>
      </w:r>
      <w:r>
        <w:rPr>
          <w:rFonts w:eastAsia="Times New Roman"/>
          <w:sz w:val="24"/>
          <w:szCs w:val="24"/>
        </w:rPr>
        <w:t>B</w:t>
      </w:r>
      <w:r w:rsidR="00A8188C" w:rsidRPr="00A8188C">
        <w:rPr>
          <w:rFonts w:eastAsia="Times New Roman"/>
          <w:sz w:val="24"/>
          <w:szCs w:val="24"/>
        </w:rPr>
        <w:t>ase</w:t>
      </w:r>
      <w:r>
        <w:rPr>
          <w:rFonts w:eastAsia="Times New Roman"/>
          <w:sz w:val="24"/>
          <w:szCs w:val="24"/>
        </w:rPr>
        <w:t>’</w:t>
      </w:r>
      <w:r w:rsidR="00A8188C" w:rsidRPr="00A8188C">
        <w:rPr>
          <w:rFonts w:eastAsia="Times New Roman"/>
          <w:sz w:val="24"/>
          <w:szCs w:val="24"/>
        </w:rPr>
        <w:t xml:space="preserve"> – </w:t>
      </w:r>
      <w:r>
        <w:rPr>
          <w:rFonts w:eastAsia="Times New Roman"/>
          <w:sz w:val="24"/>
          <w:szCs w:val="24"/>
        </w:rPr>
        <w:t xml:space="preserve">they </w:t>
      </w:r>
      <w:r w:rsidR="00A8188C" w:rsidRPr="00A8188C">
        <w:rPr>
          <w:rFonts w:eastAsia="Times New Roman"/>
          <w:sz w:val="24"/>
          <w:szCs w:val="24"/>
        </w:rPr>
        <w:t>use Microsoft One Note to store and update relevant information and processes to ensure the advisor can resolve more calls at first point of contact by providing accurate information to customers</w:t>
      </w:r>
    </w:p>
    <w:p w14:paraId="23BA45DE" w14:textId="77777777" w:rsidR="00A8188C" w:rsidRPr="00A8188C" w:rsidRDefault="00A8188C" w:rsidP="00A8188C">
      <w:pPr>
        <w:pStyle w:val="ListParagraph"/>
        <w:jc w:val="both"/>
        <w:rPr>
          <w:sz w:val="24"/>
          <w:szCs w:val="24"/>
        </w:rPr>
      </w:pPr>
    </w:p>
    <w:p w14:paraId="3C171291" w14:textId="55224124" w:rsidR="00A8188C" w:rsidRPr="00A8188C" w:rsidRDefault="00A8188C" w:rsidP="00A8188C">
      <w:pPr>
        <w:pStyle w:val="ListParagraph"/>
        <w:numPr>
          <w:ilvl w:val="0"/>
          <w:numId w:val="5"/>
        </w:numPr>
        <w:spacing w:after="0" w:line="240" w:lineRule="auto"/>
        <w:contextualSpacing w:val="0"/>
        <w:jc w:val="both"/>
        <w:rPr>
          <w:rFonts w:eastAsia="Times New Roman"/>
          <w:sz w:val="24"/>
          <w:szCs w:val="24"/>
        </w:rPr>
      </w:pPr>
      <w:r w:rsidRPr="00A8188C">
        <w:rPr>
          <w:rFonts w:eastAsia="Times New Roman"/>
          <w:sz w:val="24"/>
          <w:szCs w:val="24"/>
        </w:rPr>
        <w:t>We have changed the way we operate the Live Chat service to ensure more customers can access our services via this method, the new way of working increased the number of live chats answered in one month by 100%</w:t>
      </w:r>
    </w:p>
    <w:p w14:paraId="5C301200" w14:textId="77777777" w:rsidR="00A8188C" w:rsidRPr="00A8188C" w:rsidRDefault="00A8188C" w:rsidP="00A8188C">
      <w:pPr>
        <w:pStyle w:val="ListParagraph"/>
        <w:jc w:val="both"/>
        <w:rPr>
          <w:sz w:val="24"/>
          <w:szCs w:val="24"/>
        </w:rPr>
      </w:pPr>
    </w:p>
    <w:p w14:paraId="3B2F7539" w14:textId="3AD8454E" w:rsidR="00A8188C" w:rsidRDefault="006405B7" w:rsidP="00A8188C">
      <w:pPr>
        <w:pStyle w:val="ListParagraph"/>
        <w:numPr>
          <w:ilvl w:val="0"/>
          <w:numId w:val="5"/>
        </w:numPr>
        <w:spacing w:after="0" w:line="240" w:lineRule="auto"/>
        <w:contextualSpacing w:val="0"/>
        <w:jc w:val="both"/>
        <w:rPr>
          <w:rFonts w:eastAsia="Times New Roman"/>
          <w:sz w:val="24"/>
          <w:szCs w:val="24"/>
        </w:rPr>
      </w:pPr>
      <w:r>
        <w:rPr>
          <w:rFonts w:eastAsia="Times New Roman"/>
          <w:sz w:val="24"/>
          <w:szCs w:val="24"/>
        </w:rPr>
        <w:lastRenderedPageBreak/>
        <w:t>Our Housing Service Centre</w:t>
      </w:r>
      <w:r w:rsidR="00A8188C" w:rsidRPr="00A8188C">
        <w:rPr>
          <w:rFonts w:eastAsia="Times New Roman"/>
          <w:sz w:val="24"/>
          <w:szCs w:val="24"/>
        </w:rPr>
        <w:t xml:space="preserve"> use </w:t>
      </w:r>
      <w:r w:rsidR="004F3FA6">
        <w:rPr>
          <w:rFonts w:eastAsia="Times New Roman"/>
          <w:sz w:val="24"/>
          <w:szCs w:val="24"/>
        </w:rPr>
        <w:t>Microsoft Forms</w:t>
      </w:r>
      <w:r w:rsidR="00A8188C" w:rsidRPr="00A8188C">
        <w:rPr>
          <w:rFonts w:eastAsia="Times New Roman"/>
          <w:sz w:val="24"/>
          <w:szCs w:val="24"/>
        </w:rPr>
        <w:t xml:space="preserve"> when sending requests for contact to other services which means the management team can track an analys</w:t>
      </w:r>
      <w:r w:rsidR="004741A1">
        <w:rPr>
          <w:rFonts w:eastAsia="Times New Roman"/>
          <w:sz w:val="24"/>
          <w:szCs w:val="24"/>
        </w:rPr>
        <w:t>e</w:t>
      </w:r>
      <w:r w:rsidR="00A8188C" w:rsidRPr="00A8188C">
        <w:rPr>
          <w:rFonts w:eastAsia="Times New Roman"/>
          <w:sz w:val="24"/>
          <w:szCs w:val="24"/>
        </w:rPr>
        <w:t xml:space="preserve"> the types of enquiries we need to refer and see if there are any knowledge gaps within the team and provide training</w:t>
      </w:r>
    </w:p>
    <w:p w14:paraId="5B9771DE" w14:textId="77777777" w:rsidR="007239E7" w:rsidRPr="007239E7" w:rsidRDefault="007239E7" w:rsidP="007239E7">
      <w:pPr>
        <w:pStyle w:val="ListParagraph"/>
        <w:rPr>
          <w:rFonts w:eastAsia="Times New Roman"/>
          <w:sz w:val="24"/>
          <w:szCs w:val="24"/>
        </w:rPr>
      </w:pPr>
    </w:p>
    <w:p w14:paraId="4AD1542F" w14:textId="039AC064" w:rsidR="007239E7" w:rsidRPr="00A8188C" w:rsidRDefault="00071615" w:rsidP="00A8188C">
      <w:pPr>
        <w:pStyle w:val="ListParagraph"/>
        <w:numPr>
          <w:ilvl w:val="0"/>
          <w:numId w:val="5"/>
        </w:numPr>
        <w:spacing w:after="0" w:line="240" w:lineRule="auto"/>
        <w:contextualSpacing w:val="0"/>
        <w:jc w:val="both"/>
        <w:rPr>
          <w:rFonts w:eastAsia="Times New Roman"/>
          <w:sz w:val="24"/>
          <w:szCs w:val="24"/>
        </w:rPr>
      </w:pPr>
      <w:r>
        <w:rPr>
          <w:rFonts w:eastAsia="Times New Roman"/>
          <w:sz w:val="24"/>
          <w:szCs w:val="24"/>
        </w:rPr>
        <w:t>The ‘hold message’ when contacting our Housing Service Centre has been updated to include the option to request translation services, creating awareness of a more inclusive service for our customers</w:t>
      </w:r>
    </w:p>
    <w:p w14:paraId="26B0E2C7" w14:textId="77777777" w:rsidR="00A8188C" w:rsidRPr="00A8188C" w:rsidRDefault="00A8188C" w:rsidP="00A8188C">
      <w:pPr>
        <w:pStyle w:val="ListParagraph"/>
        <w:jc w:val="both"/>
        <w:rPr>
          <w:sz w:val="24"/>
          <w:szCs w:val="24"/>
        </w:rPr>
      </w:pPr>
    </w:p>
    <w:p w14:paraId="6AF8A250" w14:textId="0E6C2D84" w:rsidR="00A8188C" w:rsidRDefault="00A8188C" w:rsidP="00A8188C">
      <w:pPr>
        <w:pStyle w:val="ListParagraph"/>
        <w:numPr>
          <w:ilvl w:val="0"/>
          <w:numId w:val="5"/>
        </w:numPr>
        <w:spacing w:after="0" w:line="240" w:lineRule="auto"/>
        <w:contextualSpacing w:val="0"/>
        <w:jc w:val="both"/>
        <w:rPr>
          <w:rFonts w:eastAsia="Times New Roman"/>
          <w:sz w:val="24"/>
          <w:szCs w:val="24"/>
        </w:rPr>
      </w:pPr>
      <w:r w:rsidRPr="00A8188C">
        <w:rPr>
          <w:rFonts w:eastAsia="Times New Roman"/>
          <w:sz w:val="24"/>
          <w:szCs w:val="24"/>
        </w:rPr>
        <w:t xml:space="preserve">We increased the quality monitoring within the </w:t>
      </w:r>
      <w:r w:rsidR="00A101B2">
        <w:rPr>
          <w:rFonts w:eastAsia="Times New Roman"/>
          <w:sz w:val="24"/>
          <w:szCs w:val="24"/>
        </w:rPr>
        <w:t>Housing Service Centre</w:t>
      </w:r>
      <w:r w:rsidRPr="00A8188C">
        <w:rPr>
          <w:rFonts w:eastAsia="Times New Roman"/>
          <w:sz w:val="24"/>
          <w:szCs w:val="24"/>
        </w:rPr>
        <w:t xml:space="preserve"> to ensure customers are receiving the standard of service expected from the compan</w:t>
      </w:r>
      <w:r w:rsidR="00BF3185">
        <w:rPr>
          <w:rFonts w:eastAsia="Times New Roman"/>
          <w:sz w:val="24"/>
          <w:szCs w:val="24"/>
        </w:rPr>
        <w:t>y’s</w:t>
      </w:r>
      <w:r w:rsidRPr="00A8188C">
        <w:rPr>
          <w:rFonts w:eastAsia="Times New Roman"/>
          <w:sz w:val="24"/>
          <w:szCs w:val="24"/>
        </w:rPr>
        <w:t xml:space="preserve"> core values and objectives, in line with our behaviour framework</w:t>
      </w:r>
    </w:p>
    <w:p w14:paraId="51C03CDA" w14:textId="77777777" w:rsidR="006405B7" w:rsidRPr="006405B7" w:rsidRDefault="006405B7" w:rsidP="006405B7">
      <w:pPr>
        <w:pStyle w:val="ListParagraph"/>
        <w:rPr>
          <w:rFonts w:eastAsia="Times New Roman"/>
          <w:sz w:val="24"/>
          <w:szCs w:val="24"/>
        </w:rPr>
      </w:pPr>
    </w:p>
    <w:p w14:paraId="55E28991" w14:textId="1DA5F988" w:rsidR="00A86E03" w:rsidRDefault="00E54E9F" w:rsidP="00A86E03">
      <w:pPr>
        <w:pStyle w:val="ListParagraph"/>
        <w:numPr>
          <w:ilvl w:val="0"/>
          <w:numId w:val="5"/>
        </w:numPr>
        <w:spacing w:after="0" w:line="240" w:lineRule="auto"/>
        <w:jc w:val="both"/>
        <w:rPr>
          <w:rFonts w:eastAsia="Times New Roman"/>
          <w:sz w:val="24"/>
          <w:szCs w:val="24"/>
        </w:rPr>
      </w:pPr>
      <w:r>
        <w:rPr>
          <w:rFonts w:eastAsia="Times New Roman"/>
          <w:sz w:val="24"/>
          <w:szCs w:val="24"/>
        </w:rPr>
        <w:t>A</w:t>
      </w:r>
      <w:r w:rsidR="00A86E03" w:rsidRPr="00A86E03">
        <w:rPr>
          <w:rFonts w:eastAsia="Times New Roman"/>
          <w:sz w:val="24"/>
          <w:szCs w:val="24"/>
        </w:rPr>
        <w:t xml:space="preserve"> telephone advice ‘triage’ system </w:t>
      </w:r>
      <w:r>
        <w:rPr>
          <w:rFonts w:eastAsia="Times New Roman"/>
          <w:sz w:val="24"/>
          <w:szCs w:val="24"/>
        </w:rPr>
        <w:t>was introduced within our Welfare Support Team</w:t>
      </w:r>
      <w:r w:rsidR="00A86E03" w:rsidRPr="00A86E03">
        <w:rPr>
          <w:rFonts w:eastAsia="Times New Roman"/>
          <w:sz w:val="24"/>
          <w:szCs w:val="24"/>
        </w:rPr>
        <w:t xml:space="preserve"> whereby customers could be contacted by phone quicker than previously waiting for an appointment with a welfare support advisor</w:t>
      </w:r>
      <w:r>
        <w:rPr>
          <w:rFonts w:eastAsia="Times New Roman"/>
          <w:sz w:val="24"/>
          <w:szCs w:val="24"/>
        </w:rPr>
        <w:t xml:space="preserve">, </w:t>
      </w:r>
      <w:r w:rsidR="00A86E03" w:rsidRPr="00A86E03">
        <w:rPr>
          <w:rFonts w:eastAsia="Times New Roman"/>
          <w:sz w:val="24"/>
          <w:szCs w:val="24"/>
        </w:rPr>
        <w:t>reduc</w:t>
      </w:r>
      <w:r>
        <w:rPr>
          <w:rFonts w:eastAsia="Times New Roman"/>
          <w:sz w:val="24"/>
          <w:szCs w:val="24"/>
        </w:rPr>
        <w:t>ing</w:t>
      </w:r>
      <w:r w:rsidR="00A86E03" w:rsidRPr="00A86E03">
        <w:rPr>
          <w:rFonts w:eastAsia="Times New Roman"/>
          <w:sz w:val="24"/>
          <w:szCs w:val="24"/>
        </w:rPr>
        <w:t xml:space="preserve"> waiting times and contribut</w:t>
      </w:r>
      <w:r>
        <w:rPr>
          <w:rFonts w:eastAsia="Times New Roman"/>
          <w:sz w:val="24"/>
          <w:szCs w:val="24"/>
        </w:rPr>
        <w:t>ing</w:t>
      </w:r>
      <w:r w:rsidR="00A86E03" w:rsidRPr="00A86E03">
        <w:rPr>
          <w:rFonts w:eastAsia="Times New Roman"/>
          <w:sz w:val="24"/>
          <w:szCs w:val="24"/>
        </w:rPr>
        <w:t xml:space="preserve"> to over £112,000 in financial outcomes for customers</w:t>
      </w:r>
    </w:p>
    <w:p w14:paraId="462CC2DC" w14:textId="77777777" w:rsidR="00E54E9F" w:rsidRPr="00E54E9F" w:rsidRDefault="00E54E9F" w:rsidP="00E54E9F">
      <w:pPr>
        <w:pStyle w:val="ListParagraph"/>
        <w:rPr>
          <w:rFonts w:eastAsia="Times New Roman"/>
          <w:sz w:val="24"/>
          <w:szCs w:val="24"/>
        </w:rPr>
      </w:pPr>
    </w:p>
    <w:p w14:paraId="7A147F63" w14:textId="4BEC1616" w:rsidR="00621CC4" w:rsidRPr="00DA6A1F" w:rsidRDefault="00621CC4" w:rsidP="004C1228">
      <w:pPr>
        <w:pStyle w:val="ListParagraph"/>
        <w:numPr>
          <w:ilvl w:val="0"/>
          <w:numId w:val="5"/>
        </w:numPr>
        <w:spacing w:after="200" w:line="276" w:lineRule="auto"/>
        <w:jc w:val="both"/>
        <w:rPr>
          <w:rFonts w:eastAsia="Times New Roman" w:cs="Arial"/>
          <w:color w:val="1D2828"/>
          <w:sz w:val="24"/>
          <w:szCs w:val="24"/>
          <w:lang w:val="en-US"/>
        </w:rPr>
      </w:pPr>
      <w:r w:rsidRPr="00DA6A1F">
        <w:rPr>
          <w:rFonts w:eastAsia="Times New Roman" w:cs="Arial"/>
          <w:color w:val="1D2828"/>
          <w:sz w:val="24"/>
          <w:szCs w:val="24"/>
          <w:lang w:val="en-US"/>
        </w:rPr>
        <w:t>Our Empty Homes team work closely with new customers by identifying and undertaking redecoration for customers who may have vulnerabilities, limited or no support to help with their transition into their new home helping to support tenancy sustainment</w:t>
      </w:r>
    </w:p>
    <w:p w14:paraId="7D99C065" w14:textId="77777777" w:rsidR="00621CC4" w:rsidRPr="00621CC4" w:rsidRDefault="00621CC4" w:rsidP="00621CC4">
      <w:pPr>
        <w:pStyle w:val="ListParagraph"/>
        <w:rPr>
          <w:rFonts w:ascii="Arial" w:eastAsia="Times New Roman" w:hAnsi="Arial" w:cs="Arial"/>
          <w:color w:val="1D2828"/>
          <w:lang w:val="en-US"/>
        </w:rPr>
      </w:pPr>
    </w:p>
    <w:p w14:paraId="7F67E322" w14:textId="6C2BBA54" w:rsidR="00621CC4" w:rsidRPr="004C1228" w:rsidRDefault="00621CC4" w:rsidP="004C1228">
      <w:pPr>
        <w:pStyle w:val="ListParagraph"/>
        <w:numPr>
          <w:ilvl w:val="0"/>
          <w:numId w:val="5"/>
        </w:numPr>
        <w:spacing w:after="200" w:line="276" w:lineRule="auto"/>
        <w:jc w:val="both"/>
        <w:rPr>
          <w:rFonts w:eastAsia="Times New Roman" w:cs="Arial"/>
          <w:color w:val="1D2828"/>
          <w:sz w:val="24"/>
          <w:szCs w:val="24"/>
        </w:rPr>
      </w:pPr>
      <w:r w:rsidRPr="004C1228">
        <w:rPr>
          <w:rFonts w:eastAsia="Times New Roman" w:cs="Arial"/>
          <w:color w:val="1D2828"/>
          <w:sz w:val="24"/>
          <w:szCs w:val="24"/>
        </w:rPr>
        <w:t>Implementation of a partnership approach alongside Utilita (energy supplier) switching all void utilities within the void period so new customers have one point of contact when setting up their new supplies with dedicated points of contact from Utilita at the start of a new tenancy to support customers and families with an easy transition with their utilities</w:t>
      </w:r>
    </w:p>
    <w:p w14:paraId="4191A202" w14:textId="77777777" w:rsidR="00621CC4" w:rsidRPr="004C1228" w:rsidRDefault="00621CC4" w:rsidP="004C1228">
      <w:pPr>
        <w:pStyle w:val="ListParagraph"/>
        <w:jc w:val="both"/>
        <w:rPr>
          <w:rFonts w:eastAsia="Times New Roman" w:cs="Arial"/>
          <w:color w:val="1D2828"/>
          <w:sz w:val="24"/>
          <w:szCs w:val="24"/>
        </w:rPr>
      </w:pPr>
    </w:p>
    <w:p w14:paraId="79081579" w14:textId="78A85954" w:rsidR="00E54E9F" w:rsidRPr="001A782C" w:rsidRDefault="00621CC4" w:rsidP="004C1228">
      <w:pPr>
        <w:pStyle w:val="ListParagraph"/>
        <w:numPr>
          <w:ilvl w:val="0"/>
          <w:numId w:val="5"/>
        </w:numPr>
        <w:spacing w:after="0" w:line="240" w:lineRule="auto"/>
        <w:jc w:val="both"/>
        <w:rPr>
          <w:rFonts w:eastAsia="Times New Roman"/>
          <w:sz w:val="24"/>
          <w:szCs w:val="24"/>
        </w:rPr>
      </w:pPr>
      <w:r w:rsidRPr="004C1228">
        <w:rPr>
          <w:rFonts w:eastAsia="Times New Roman" w:cs="Arial"/>
          <w:color w:val="1D2828"/>
          <w:sz w:val="24"/>
          <w:szCs w:val="24"/>
          <w:lang w:val="en-US"/>
        </w:rPr>
        <w:t>Signposting customer</w:t>
      </w:r>
      <w:r w:rsidR="00DA6A1F">
        <w:rPr>
          <w:rFonts w:eastAsia="Times New Roman" w:cs="Arial"/>
          <w:color w:val="1D2828"/>
          <w:sz w:val="24"/>
          <w:szCs w:val="24"/>
          <w:lang w:val="en-US"/>
        </w:rPr>
        <w:t>s</w:t>
      </w:r>
      <w:r w:rsidRPr="004C1228">
        <w:rPr>
          <w:rFonts w:eastAsia="Times New Roman" w:cs="Arial"/>
          <w:color w:val="1D2828"/>
          <w:sz w:val="24"/>
          <w:szCs w:val="24"/>
          <w:lang w:val="en-US"/>
        </w:rPr>
        <w:t xml:space="preserve"> and families to external support initiatives to aid in the removal and collection of recycled furniture and goods from properties to be upcycled and used to support vulnerable customers of South Tyneside via the groundwork shop at the recycl</w:t>
      </w:r>
      <w:r w:rsidR="001A782C">
        <w:rPr>
          <w:rFonts w:eastAsia="Times New Roman" w:cs="Arial"/>
          <w:color w:val="1D2828"/>
          <w:sz w:val="24"/>
          <w:szCs w:val="24"/>
          <w:lang w:val="en-US"/>
        </w:rPr>
        <w:t>ing</w:t>
      </w:r>
      <w:r w:rsidRPr="004C1228">
        <w:rPr>
          <w:rFonts w:eastAsia="Times New Roman" w:cs="Arial"/>
          <w:color w:val="1D2828"/>
          <w:sz w:val="24"/>
          <w:szCs w:val="24"/>
          <w:lang w:val="en-US"/>
        </w:rPr>
        <w:t xml:space="preserve"> village, aiding in the reduction of waste charges and supporting recycling across our process</w:t>
      </w:r>
    </w:p>
    <w:p w14:paraId="5A2E62D2" w14:textId="77777777" w:rsidR="001A782C" w:rsidRPr="001A782C" w:rsidRDefault="001A782C" w:rsidP="001A782C">
      <w:pPr>
        <w:pStyle w:val="ListParagraph"/>
        <w:rPr>
          <w:rFonts w:eastAsia="Times New Roman"/>
          <w:sz w:val="24"/>
          <w:szCs w:val="24"/>
        </w:rPr>
      </w:pPr>
    </w:p>
    <w:p w14:paraId="2E5FA2E6" w14:textId="2B3B0237" w:rsidR="00594018" w:rsidRPr="00594018" w:rsidRDefault="00594018" w:rsidP="00594018">
      <w:pPr>
        <w:pStyle w:val="ListParagraph"/>
        <w:numPr>
          <w:ilvl w:val="0"/>
          <w:numId w:val="5"/>
        </w:numPr>
        <w:spacing w:after="200" w:line="276" w:lineRule="auto"/>
        <w:jc w:val="both"/>
        <w:rPr>
          <w:rFonts w:eastAsia="Times New Roman" w:cs="Arial"/>
          <w:color w:val="1D2828"/>
          <w:sz w:val="24"/>
          <w:szCs w:val="24"/>
        </w:rPr>
      </w:pPr>
      <w:r w:rsidRPr="00594018">
        <w:rPr>
          <w:rFonts w:eastAsia="Times New Roman" w:cs="Arial"/>
          <w:color w:val="1D2828"/>
          <w:sz w:val="24"/>
          <w:szCs w:val="24"/>
        </w:rPr>
        <w:t xml:space="preserve">We have mapped out areas of High and Low/ No Use of the Repairs Service, and subsequently working with our Housing </w:t>
      </w:r>
      <w:r w:rsidR="00501310">
        <w:rPr>
          <w:rFonts w:eastAsia="Times New Roman" w:cs="Arial"/>
          <w:color w:val="1D2828"/>
          <w:sz w:val="24"/>
          <w:szCs w:val="24"/>
        </w:rPr>
        <w:t>teams</w:t>
      </w:r>
      <w:r w:rsidRPr="00594018">
        <w:rPr>
          <w:rFonts w:eastAsia="Times New Roman" w:cs="Arial"/>
          <w:color w:val="1D2828"/>
          <w:sz w:val="24"/>
          <w:szCs w:val="24"/>
        </w:rPr>
        <w:t xml:space="preserve"> to ensure our homes and tenants are further investigated and support given</w:t>
      </w:r>
    </w:p>
    <w:p w14:paraId="25F91152" w14:textId="77777777" w:rsidR="00594018" w:rsidRPr="00594018" w:rsidRDefault="00594018" w:rsidP="00594018">
      <w:pPr>
        <w:pStyle w:val="ListParagraph"/>
        <w:jc w:val="both"/>
        <w:rPr>
          <w:rFonts w:cs="Arial"/>
          <w:color w:val="1D2828"/>
          <w:sz w:val="24"/>
          <w:szCs w:val="24"/>
        </w:rPr>
      </w:pPr>
    </w:p>
    <w:p w14:paraId="5F1A405E" w14:textId="155C061A" w:rsidR="00594018" w:rsidRPr="00594018" w:rsidRDefault="00501310" w:rsidP="00594018">
      <w:pPr>
        <w:pStyle w:val="ListParagraph"/>
        <w:numPr>
          <w:ilvl w:val="0"/>
          <w:numId w:val="5"/>
        </w:numPr>
        <w:spacing w:after="200" w:line="276" w:lineRule="auto"/>
        <w:jc w:val="both"/>
        <w:rPr>
          <w:rFonts w:eastAsia="Times New Roman" w:cs="Arial"/>
          <w:color w:val="1D2828"/>
          <w:sz w:val="24"/>
          <w:szCs w:val="24"/>
        </w:rPr>
      </w:pPr>
      <w:r>
        <w:rPr>
          <w:rFonts w:eastAsia="Times New Roman" w:cs="Arial"/>
          <w:color w:val="1D2828"/>
          <w:sz w:val="24"/>
          <w:szCs w:val="24"/>
        </w:rPr>
        <w:t>Additional insight and</w:t>
      </w:r>
      <w:r w:rsidR="00594018" w:rsidRPr="00594018">
        <w:rPr>
          <w:rFonts w:eastAsia="Times New Roman" w:cs="Arial"/>
          <w:color w:val="1D2828"/>
          <w:sz w:val="24"/>
          <w:szCs w:val="24"/>
        </w:rPr>
        <w:t xml:space="preserve"> information </w:t>
      </w:r>
      <w:proofErr w:type="gramStart"/>
      <w:r w:rsidR="00594018" w:rsidRPr="00594018">
        <w:rPr>
          <w:rFonts w:eastAsia="Times New Roman" w:cs="Arial"/>
          <w:color w:val="1D2828"/>
          <w:sz w:val="24"/>
          <w:szCs w:val="24"/>
        </w:rPr>
        <w:t>is</w:t>
      </w:r>
      <w:proofErr w:type="gramEnd"/>
      <w:r w:rsidR="00594018" w:rsidRPr="00594018">
        <w:rPr>
          <w:rFonts w:eastAsia="Times New Roman" w:cs="Arial"/>
          <w:color w:val="1D2828"/>
          <w:sz w:val="24"/>
          <w:szCs w:val="24"/>
        </w:rPr>
        <w:t xml:space="preserve"> also being used to target capital replacement programmes, for example boiler replacements, where we aim to replace boilers based on the highest numbers of repairs they have had carried out</w:t>
      </w:r>
    </w:p>
    <w:p w14:paraId="0D243E3A" w14:textId="77777777" w:rsidR="00594018" w:rsidRPr="00594018" w:rsidRDefault="00594018" w:rsidP="00594018">
      <w:pPr>
        <w:pStyle w:val="ListParagraph"/>
        <w:jc w:val="both"/>
        <w:rPr>
          <w:rFonts w:cs="Arial"/>
          <w:color w:val="1D2828"/>
          <w:sz w:val="24"/>
          <w:szCs w:val="24"/>
        </w:rPr>
      </w:pPr>
    </w:p>
    <w:p w14:paraId="4273F603" w14:textId="5AE35BBC" w:rsidR="00594018" w:rsidRDefault="00594018" w:rsidP="00594018">
      <w:pPr>
        <w:pStyle w:val="ListParagraph"/>
        <w:numPr>
          <w:ilvl w:val="0"/>
          <w:numId w:val="5"/>
        </w:numPr>
        <w:spacing w:after="200" w:line="276" w:lineRule="auto"/>
        <w:jc w:val="both"/>
        <w:rPr>
          <w:rFonts w:eastAsia="Times New Roman" w:cs="Arial"/>
          <w:color w:val="1D2828"/>
          <w:sz w:val="24"/>
          <w:szCs w:val="24"/>
        </w:rPr>
      </w:pPr>
      <w:r w:rsidRPr="00594018">
        <w:rPr>
          <w:rFonts w:eastAsia="Times New Roman" w:cs="Arial"/>
          <w:color w:val="1D2828"/>
          <w:sz w:val="24"/>
          <w:szCs w:val="24"/>
        </w:rPr>
        <w:lastRenderedPageBreak/>
        <w:t>We have realigned external programmes of Capital investment to ensure we reduce multiple visits to a customer’s home, reducing the disruption, for example when we carry out repointing, roof renewal, window replacement schemes and the likes</w:t>
      </w:r>
    </w:p>
    <w:p w14:paraId="2170341F" w14:textId="77777777" w:rsidR="00A56E83" w:rsidRPr="00A56E83" w:rsidRDefault="00A56E83" w:rsidP="00A56E83">
      <w:pPr>
        <w:pStyle w:val="ListParagraph"/>
        <w:rPr>
          <w:rFonts w:eastAsia="Times New Roman" w:cs="Arial"/>
          <w:color w:val="1D2828"/>
          <w:sz w:val="24"/>
          <w:szCs w:val="24"/>
        </w:rPr>
      </w:pPr>
    </w:p>
    <w:p w14:paraId="1D3EECCB" w14:textId="4CF9BF51" w:rsidR="00F15B78" w:rsidRDefault="00117968" w:rsidP="00F15B78">
      <w:pPr>
        <w:pStyle w:val="ListParagraph"/>
        <w:numPr>
          <w:ilvl w:val="0"/>
          <w:numId w:val="5"/>
        </w:numPr>
        <w:spacing w:after="0" w:line="240" w:lineRule="auto"/>
        <w:jc w:val="both"/>
        <w:rPr>
          <w:rFonts w:eastAsia="Times New Roman"/>
          <w:sz w:val="24"/>
          <w:szCs w:val="24"/>
        </w:rPr>
      </w:pPr>
      <w:r>
        <w:rPr>
          <w:rFonts w:eastAsia="Times New Roman"/>
          <w:sz w:val="24"/>
          <w:szCs w:val="24"/>
        </w:rPr>
        <w:t>Our Housing Plus</w:t>
      </w:r>
      <w:r w:rsidR="00C366D6">
        <w:rPr>
          <w:rFonts w:eastAsia="Times New Roman"/>
          <w:sz w:val="24"/>
          <w:szCs w:val="24"/>
        </w:rPr>
        <w:t xml:space="preserve"> teams were</w:t>
      </w:r>
      <w:r>
        <w:rPr>
          <w:rFonts w:eastAsia="Times New Roman"/>
          <w:sz w:val="24"/>
          <w:szCs w:val="24"/>
        </w:rPr>
        <w:t xml:space="preserve"> delivered bespoke training around the difficult subject of bereavement with an ext</w:t>
      </w:r>
      <w:r w:rsidR="00C366D6">
        <w:rPr>
          <w:rFonts w:eastAsia="Times New Roman"/>
          <w:sz w:val="24"/>
          <w:szCs w:val="24"/>
        </w:rPr>
        <w:t>ernal provider</w:t>
      </w:r>
      <w:r w:rsidR="00F15B78">
        <w:rPr>
          <w:rFonts w:eastAsia="Times New Roman"/>
          <w:sz w:val="24"/>
          <w:szCs w:val="24"/>
        </w:rPr>
        <w:t xml:space="preserve"> and </w:t>
      </w:r>
      <w:r w:rsidR="00F15B78" w:rsidRPr="00F15B78">
        <w:rPr>
          <w:rFonts w:eastAsia="Times New Roman"/>
          <w:sz w:val="24"/>
          <w:szCs w:val="24"/>
        </w:rPr>
        <w:t xml:space="preserve">have </w:t>
      </w:r>
      <w:r w:rsidR="001D4D4B">
        <w:rPr>
          <w:rFonts w:eastAsia="Times New Roman"/>
          <w:sz w:val="24"/>
          <w:szCs w:val="24"/>
        </w:rPr>
        <w:t>produced</w:t>
      </w:r>
      <w:r w:rsidR="00F15B78" w:rsidRPr="00F15B78">
        <w:rPr>
          <w:rFonts w:eastAsia="Times New Roman"/>
          <w:sz w:val="24"/>
          <w:szCs w:val="24"/>
        </w:rPr>
        <w:t xml:space="preserve"> a set of paperwork for all staff to use – this </w:t>
      </w:r>
      <w:r w:rsidR="00F15B78">
        <w:rPr>
          <w:rFonts w:eastAsia="Times New Roman"/>
          <w:sz w:val="24"/>
          <w:szCs w:val="24"/>
        </w:rPr>
        <w:t>can now be used to</w:t>
      </w:r>
      <w:r w:rsidR="00F15B78" w:rsidRPr="00F15B78">
        <w:rPr>
          <w:rFonts w:eastAsia="Times New Roman"/>
          <w:sz w:val="24"/>
          <w:szCs w:val="24"/>
        </w:rPr>
        <w:t xml:space="preserve"> </w:t>
      </w:r>
      <w:r w:rsidR="001D4D4B">
        <w:rPr>
          <w:rFonts w:eastAsia="Times New Roman"/>
          <w:sz w:val="24"/>
          <w:szCs w:val="24"/>
        </w:rPr>
        <w:t>provide</w:t>
      </w:r>
      <w:r w:rsidR="00F15B78" w:rsidRPr="00F15B78">
        <w:rPr>
          <w:rFonts w:eastAsia="Times New Roman"/>
          <w:sz w:val="24"/>
          <w:szCs w:val="24"/>
        </w:rPr>
        <w:t xml:space="preserve"> to the next of kin after a loved one has passed away</w:t>
      </w:r>
    </w:p>
    <w:p w14:paraId="28D7260B" w14:textId="77777777" w:rsidR="00F15B78" w:rsidRPr="00F15B78" w:rsidRDefault="00F15B78" w:rsidP="00F15B78">
      <w:pPr>
        <w:pStyle w:val="ListParagraph"/>
        <w:rPr>
          <w:rFonts w:eastAsia="Times New Roman"/>
          <w:sz w:val="24"/>
          <w:szCs w:val="24"/>
        </w:rPr>
      </w:pPr>
    </w:p>
    <w:p w14:paraId="762C0638" w14:textId="2C144674" w:rsidR="00E357D1" w:rsidRPr="00901013" w:rsidRDefault="00E357D1" w:rsidP="00901013">
      <w:pPr>
        <w:pStyle w:val="ListParagraph"/>
        <w:numPr>
          <w:ilvl w:val="0"/>
          <w:numId w:val="5"/>
        </w:numPr>
        <w:spacing w:after="0" w:line="240" w:lineRule="auto"/>
        <w:contextualSpacing w:val="0"/>
        <w:jc w:val="both"/>
        <w:rPr>
          <w:rFonts w:eastAsia="Times New Roman"/>
          <w:sz w:val="24"/>
          <w:szCs w:val="24"/>
        </w:rPr>
      </w:pPr>
      <w:r w:rsidRPr="00901013">
        <w:rPr>
          <w:rFonts w:eastAsia="Times New Roman"/>
          <w:sz w:val="24"/>
          <w:szCs w:val="24"/>
        </w:rPr>
        <w:t>Training/awareness sessions are being delivered internally to our Housing Management teams on the ASB process and reporting ASB</w:t>
      </w:r>
    </w:p>
    <w:p w14:paraId="775A877A" w14:textId="77777777" w:rsidR="00E357D1" w:rsidRPr="00901013" w:rsidRDefault="00E357D1" w:rsidP="00901013">
      <w:pPr>
        <w:pStyle w:val="ListParagraph"/>
        <w:jc w:val="both"/>
        <w:rPr>
          <w:rFonts w:eastAsia="Times New Roman"/>
          <w:sz w:val="24"/>
          <w:szCs w:val="24"/>
        </w:rPr>
      </w:pPr>
    </w:p>
    <w:p w14:paraId="7CEB5BE5" w14:textId="4BD0AC6E" w:rsidR="00901013" w:rsidRDefault="00901013" w:rsidP="000F56AB">
      <w:pPr>
        <w:pStyle w:val="ListParagraph"/>
        <w:numPr>
          <w:ilvl w:val="0"/>
          <w:numId w:val="5"/>
        </w:numPr>
        <w:spacing w:after="0" w:line="240" w:lineRule="auto"/>
        <w:jc w:val="both"/>
        <w:rPr>
          <w:rFonts w:eastAsia="Times New Roman"/>
          <w:sz w:val="24"/>
          <w:szCs w:val="24"/>
        </w:rPr>
      </w:pPr>
      <w:r>
        <w:rPr>
          <w:rFonts w:eastAsia="Times New Roman"/>
          <w:sz w:val="24"/>
          <w:szCs w:val="24"/>
        </w:rPr>
        <w:t>In depth case reviews are carried out on all ASB cases which have been open longer than 6 months</w:t>
      </w:r>
    </w:p>
    <w:p w14:paraId="66D234B7" w14:textId="77777777" w:rsidR="000F56AB" w:rsidRPr="000F56AB" w:rsidRDefault="000F56AB" w:rsidP="000F56AB">
      <w:pPr>
        <w:pStyle w:val="ListParagraph"/>
        <w:rPr>
          <w:rFonts w:eastAsia="Times New Roman"/>
          <w:sz w:val="24"/>
          <w:szCs w:val="24"/>
        </w:rPr>
      </w:pPr>
    </w:p>
    <w:p w14:paraId="7198B6F7" w14:textId="4BA89EC5" w:rsidR="000F56AB" w:rsidRPr="000F56AB" w:rsidRDefault="000F56AB" w:rsidP="000F56AB">
      <w:pPr>
        <w:pStyle w:val="ListParagraph"/>
        <w:numPr>
          <w:ilvl w:val="0"/>
          <w:numId w:val="5"/>
        </w:numPr>
        <w:spacing w:after="0" w:line="240" w:lineRule="auto"/>
        <w:jc w:val="both"/>
        <w:rPr>
          <w:rStyle w:val="ui-provider"/>
          <w:rFonts w:eastAsia="Times New Roman"/>
          <w:sz w:val="24"/>
          <w:szCs w:val="24"/>
        </w:rPr>
      </w:pPr>
      <w:r w:rsidRPr="000F56AB">
        <w:rPr>
          <w:rStyle w:val="ui-provider"/>
          <w:sz w:val="24"/>
          <w:szCs w:val="24"/>
        </w:rPr>
        <w:t>Housing Management and Tenancy Sustainment services changed significantly on 1</w:t>
      </w:r>
      <w:r w:rsidRPr="000F56AB">
        <w:rPr>
          <w:rStyle w:val="ui-provider"/>
          <w:i/>
          <w:iCs/>
          <w:sz w:val="24"/>
          <w:szCs w:val="24"/>
        </w:rPr>
        <w:t>st</w:t>
      </w:r>
      <w:r w:rsidRPr="000F56AB">
        <w:rPr>
          <w:rStyle w:val="ui-provider"/>
          <w:sz w:val="24"/>
          <w:szCs w:val="24"/>
        </w:rPr>
        <w:t xml:space="preserve"> October 2023. Two specialist teams, Income and Housing and Area Management, were brought together to create a holistic service with customers at the heart of the new way of working</w:t>
      </w:r>
    </w:p>
    <w:p w14:paraId="0AB023E2" w14:textId="77777777" w:rsidR="000F56AB" w:rsidRPr="000F56AB" w:rsidRDefault="000F56AB" w:rsidP="000F56AB">
      <w:pPr>
        <w:pStyle w:val="ListParagraph"/>
        <w:rPr>
          <w:rStyle w:val="ui-provider"/>
          <w:sz w:val="24"/>
          <w:szCs w:val="24"/>
        </w:rPr>
      </w:pPr>
    </w:p>
    <w:p w14:paraId="3C0D5712" w14:textId="1EDFBB84" w:rsidR="000F56AB" w:rsidRPr="000F56AB" w:rsidRDefault="000F56AB" w:rsidP="000F56AB">
      <w:pPr>
        <w:pStyle w:val="ListParagraph"/>
        <w:numPr>
          <w:ilvl w:val="0"/>
          <w:numId w:val="5"/>
        </w:numPr>
        <w:spacing w:after="0" w:line="240" w:lineRule="auto"/>
        <w:jc w:val="both"/>
        <w:rPr>
          <w:rFonts w:eastAsia="Times New Roman"/>
          <w:sz w:val="24"/>
          <w:szCs w:val="24"/>
        </w:rPr>
      </w:pPr>
      <w:r w:rsidRPr="000F56AB">
        <w:rPr>
          <w:rStyle w:val="ui-provider"/>
          <w:sz w:val="24"/>
          <w:szCs w:val="24"/>
        </w:rPr>
        <w:t>Officers patch sizes have reduced significantly, giving Officers more autonomy regarding their patch and workload and giving them the opportunity to build relationships with our customers and provide individual tailored support based on the customers’ needs and requirements</w:t>
      </w:r>
    </w:p>
    <w:p w14:paraId="222C41C6" w14:textId="77777777" w:rsidR="00901013" w:rsidRDefault="00901013" w:rsidP="00901013">
      <w:pPr>
        <w:spacing w:after="0" w:line="240" w:lineRule="auto"/>
        <w:jc w:val="both"/>
        <w:rPr>
          <w:rFonts w:eastAsia="Times New Roman"/>
          <w:sz w:val="24"/>
          <w:szCs w:val="24"/>
        </w:rPr>
      </w:pPr>
    </w:p>
    <w:p w14:paraId="30F4C371" w14:textId="77777777" w:rsidR="00901013" w:rsidRDefault="00901013" w:rsidP="00901013">
      <w:pPr>
        <w:spacing w:after="0" w:line="240" w:lineRule="auto"/>
        <w:jc w:val="both"/>
        <w:rPr>
          <w:rFonts w:eastAsia="Times New Roman"/>
          <w:sz w:val="24"/>
          <w:szCs w:val="24"/>
        </w:rPr>
      </w:pPr>
    </w:p>
    <w:p w14:paraId="358F8D9F" w14:textId="77777777" w:rsidR="003B380B" w:rsidRDefault="003B380B">
      <w:pPr>
        <w:rPr>
          <w:sz w:val="28"/>
          <w:szCs w:val="28"/>
          <w:u w:val="single"/>
        </w:rPr>
      </w:pPr>
      <w:r>
        <w:rPr>
          <w:sz w:val="28"/>
          <w:szCs w:val="28"/>
          <w:u w:val="single"/>
        </w:rPr>
        <w:br w:type="page"/>
      </w:r>
    </w:p>
    <w:p w14:paraId="4C924B8C" w14:textId="0C2D0117" w:rsidR="00901013" w:rsidRPr="003B380B" w:rsidRDefault="00901013" w:rsidP="00901013">
      <w:pPr>
        <w:tabs>
          <w:tab w:val="left" w:pos="1400"/>
        </w:tabs>
        <w:rPr>
          <w:b/>
          <w:bCs/>
          <w:sz w:val="36"/>
          <w:szCs w:val="36"/>
        </w:rPr>
      </w:pPr>
      <w:r w:rsidRPr="003B380B">
        <w:rPr>
          <w:b/>
          <w:bCs/>
          <w:sz w:val="36"/>
          <w:szCs w:val="36"/>
        </w:rPr>
        <w:lastRenderedPageBreak/>
        <w:t>Learnings and Service Improvements from Tenant Involvement and Engagement</w:t>
      </w:r>
    </w:p>
    <w:p w14:paraId="7CFC5BB8" w14:textId="6F12D480" w:rsidR="00901013" w:rsidRDefault="00207AC8" w:rsidP="00CF443D">
      <w:pPr>
        <w:tabs>
          <w:tab w:val="left" w:pos="1400"/>
        </w:tabs>
        <w:jc w:val="both"/>
        <w:rPr>
          <w:sz w:val="24"/>
          <w:szCs w:val="24"/>
        </w:rPr>
      </w:pPr>
      <w:r>
        <w:rPr>
          <w:sz w:val="24"/>
          <w:szCs w:val="24"/>
        </w:rPr>
        <w:t>South Tyneside Homes</w:t>
      </w:r>
      <w:r w:rsidR="00277488">
        <w:rPr>
          <w:sz w:val="24"/>
          <w:szCs w:val="24"/>
        </w:rPr>
        <w:t xml:space="preserve"> </w:t>
      </w:r>
      <w:r w:rsidR="00702F2C">
        <w:rPr>
          <w:sz w:val="24"/>
          <w:szCs w:val="24"/>
        </w:rPr>
        <w:t xml:space="preserve">is committed to listening to the tenant voice and ensuring that it influences </w:t>
      </w:r>
      <w:r w:rsidR="00BC4734">
        <w:rPr>
          <w:sz w:val="24"/>
          <w:szCs w:val="24"/>
        </w:rPr>
        <w:t xml:space="preserve">service delivery and decision making. </w:t>
      </w:r>
    </w:p>
    <w:p w14:paraId="69C8E90E" w14:textId="7CA74B13" w:rsidR="003A72BC" w:rsidRPr="003A72BC" w:rsidRDefault="00631246" w:rsidP="003A72BC">
      <w:pPr>
        <w:tabs>
          <w:tab w:val="left" w:pos="1400"/>
        </w:tabs>
        <w:jc w:val="both"/>
        <w:rPr>
          <w:b/>
          <w:sz w:val="24"/>
          <w:szCs w:val="24"/>
          <w:lang w:val="en-US"/>
        </w:rPr>
      </w:pPr>
      <w:r>
        <w:rPr>
          <w:sz w:val="24"/>
          <w:szCs w:val="24"/>
          <w:lang w:val="en-US"/>
        </w:rPr>
        <w:t>Tenant</w:t>
      </w:r>
      <w:r w:rsidR="003A72BC" w:rsidRPr="003A72BC">
        <w:rPr>
          <w:sz w:val="24"/>
          <w:szCs w:val="24"/>
          <w:lang w:val="en-US"/>
        </w:rPr>
        <w:t xml:space="preserve"> involvement is delivered in </w:t>
      </w:r>
      <w:r>
        <w:rPr>
          <w:sz w:val="24"/>
          <w:szCs w:val="24"/>
          <w:lang w:val="en-US"/>
        </w:rPr>
        <w:t>various</w:t>
      </w:r>
      <w:r w:rsidR="003A72BC" w:rsidRPr="003A72BC">
        <w:rPr>
          <w:sz w:val="24"/>
          <w:szCs w:val="24"/>
          <w:lang w:val="en-US"/>
        </w:rPr>
        <w:t xml:space="preserve"> ways across the </w:t>
      </w:r>
      <w:proofErr w:type="spellStart"/>
      <w:r w:rsidR="003A72BC" w:rsidRPr="003A72BC">
        <w:rPr>
          <w:sz w:val="24"/>
          <w:szCs w:val="24"/>
          <w:lang w:val="en-US"/>
        </w:rPr>
        <w:t>organisation</w:t>
      </w:r>
      <w:proofErr w:type="spellEnd"/>
      <w:r w:rsidR="003A72BC" w:rsidRPr="003A72BC">
        <w:rPr>
          <w:sz w:val="24"/>
          <w:szCs w:val="24"/>
          <w:lang w:val="en-US"/>
        </w:rPr>
        <w:t xml:space="preserve"> reflecting our aim to have a broad ‘menu of engagement’ that helps to both increase the number of customers who are involved and to be more representative of communities within the Borough. These mechanisms are: </w:t>
      </w:r>
    </w:p>
    <w:p w14:paraId="64B249B6" w14:textId="2C6E927B" w:rsidR="003A72BC" w:rsidRPr="003A72BC" w:rsidRDefault="003A72BC" w:rsidP="003A72BC">
      <w:pPr>
        <w:numPr>
          <w:ilvl w:val="0"/>
          <w:numId w:val="15"/>
        </w:numPr>
        <w:tabs>
          <w:tab w:val="left" w:pos="1400"/>
        </w:tabs>
        <w:jc w:val="both"/>
        <w:rPr>
          <w:sz w:val="24"/>
          <w:szCs w:val="24"/>
          <w:lang w:val="en-US"/>
        </w:rPr>
      </w:pPr>
      <w:bookmarkStart w:id="0" w:name="_Hlk160797403"/>
      <w:r w:rsidRPr="003A72BC">
        <w:rPr>
          <w:sz w:val="24"/>
          <w:szCs w:val="24"/>
          <w:lang w:val="en-US"/>
        </w:rPr>
        <w:t>Formal customer panels that review and investigate where improvements could be made (Scrutiny Panel and Check and Challenge)</w:t>
      </w:r>
    </w:p>
    <w:bookmarkEnd w:id="0"/>
    <w:p w14:paraId="26C2B9F0" w14:textId="28F630F5" w:rsidR="003A72BC" w:rsidRPr="003A72BC" w:rsidRDefault="003A72BC" w:rsidP="003A72BC">
      <w:pPr>
        <w:numPr>
          <w:ilvl w:val="0"/>
          <w:numId w:val="15"/>
        </w:numPr>
        <w:tabs>
          <w:tab w:val="left" w:pos="1400"/>
        </w:tabs>
        <w:jc w:val="both"/>
        <w:rPr>
          <w:sz w:val="24"/>
          <w:szCs w:val="24"/>
          <w:lang w:val="en-US"/>
        </w:rPr>
      </w:pPr>
      <w:r w:rsidRPr="003A72BC">
        <w:rPr>
          <w:sz w:val="24"/>
          <w:szCs w:val="24"/>
          <w:lang w:val="en-US"/>
        </w:rPr>
        <w:t>Targeted customer experience projects to capture customers’ experiences of accessing our services using Customer Journey Mapping</w:t>
      </w:r>
    </w:p>
    <w:p w14:paraId="1763F878" w14:textId="07C0EA4B" w:rsidR="003A72BC" w:rsidRPr="003A72BC" w:rsidRDefault="003A72BC" w:rsidP="003A72BC">
      <w:pPr>
        <w:numPr>
          <w:ilvl w:val="0"/>
          <w:numId w:val="15"/>
        </w:numPr>
        <w:tabs>
          <w:tab w:val="left" w:pos="1400"/>
        </w:tabs>
        <w:jc w:val="both"/>
        <w:rPr>
          <w:sz w:val="24"/>
          <w:szCs w:val="24"/>
          <w:lang w:val="en-US"/>
        </w:rPr>
      </w:pPr>
      <w:r w:rsidRPr="003A72BC">
        <w:rPr>
          <w:sz w:val="24"/>
          <w:szCs w:val="24"/>
          <w:lang w:val="en-US"/>
        </w:rPr>
        <w:t>Digital engagement – online via Tenant Talk our ‘closed’ Facebook group</w:t>
      </w:r>
    </w:p>
    <w:p w14:paraId="713FC39F" w14:textId="1A5B2D61" w:rsidR="003A72BC" w:rsidRPr="003A72BC" w:rsidRDefault="003A72BC" w:rsidP="003A72BC">
      <w:pPr>
        <w:numPr>
          <w:ilvl w:val="0"/>
          <w:numId w:val="15"/>
        </w:numPr>
        <w:tabs>
          <w:tab w:val="left" w:pos="1400"/>
        </w:tabs>
        <w:jc w:val="both"/>
        <w:rPr>
          <w:sz w:val="24"/>
          <w:szCs w:val="24"/>
          <w:lang w:val="en-US"/>
        </w:rPr>
      </w:pPr>
      <w:bookmarkStart w:id="1" w:name="_Hlk130481454"/>
      <w:bookmarkStart w:id="2" w:name="_Hlk160803330"/>
      <w:r w:rsidRPr="003A72BC">
        <w:rPr>
          <w:sz w:val="24"/>
          <w:szCs w:val="24"/>
          <w:lang w:val="en-US"/>
        </w:rPr>
        <w:t xml:space="preserve">Local involvement and outreach activity including with resident groups and third sector </w:t>
      </w:r>
      <w:proofErr w:type="spellStart"/>
      <w:r w:rsidRPr="003A72BC">
        <w:rPr>
          <w:sz w:val="24"/>
          <w:szCs w:val="24"/>
          <w:lang w:val="en-US"/>
        </w:rPr>
        <w:t>organisations</w:t>
      </w:r>
      <w:proofErr w:type="spellEnd"/>
      <w:r w:rsidRPr="003A72BC">
        <w:rPr>
          <w:sz w:val="24"/>
          <w:szCs w:val="24"/>
          <w:lang w:val="en-US"/>
        </w:rPr>
        <w:t xml:space="preserve"> across the Borough and community events</w:t>
      </w:r>
      <w:bookmarkEnd w:id="1"/>
    </w:p>
    <w:bookmarkEnd w:id="2"/>
    <w:p w14:paraId="36409529" w14:textId="36E8B2C9" w:rsidR="003A72BC" w:rsidRDefault="003A72BC" w:rsidP="003A72BC">
      <w:pPr>
        <w:numPr>
          <w:ilvl w:val="0"/>
          <w:numId w:val="15"/>
        </w:numPr>
        <w:tabs>
          <w:tab w:val="left" w:pos="1400"/>
        </w:tabs>
        <w:jc w:val="both"/>
        <w:rPr>
          <w:sz w:val="24"/>
          <w:szCs w:val="24"/>
          <w:lang w:val="en-US"/>
        </w:rPr>
      </w:pPr>
      <w:r w:rsidRPr="003A72BC">
        <w:rPr>
          <w:sz w:val="24"/>
          <w:szCs w:val="24"/>
          <w:lang w:val="en-US"/>
        </w:rPr>
        <w:t xml:space="preserve">Surveys including </w:t>
      </w:r>
      <w:proofErr w:type="spellStart"/>
      <w:r w:rsidRPr="003A72BC">
        <w:rPr>
          <w:sz w:val="24"/>
          <w:szCs w:val="24"/>
          <w:lang w:val="en-US"/>
        </w:rPr>
        <w:t>YourView</w:t>
      </w:r>
      <w:proofErr w:type="spellEnd"/>
      <w:r w:rsidRPr="003A72BC">
        <w:rPr>
          <w:sz w:val="24"/>
          <w:szCs w:val="24"/>
          <w:lang w:val="en-US"/>
        </w:rPr>
        <w:t xml:space="preserve"> online surveys</w:t>
      </w:r>
    </w:p>
    <w:p w14:paraId="4AE82DB4" w14:textId="77777777" w:rsidR="003B380B" w:rsidRDefault="003B380B" w:rsidP="003B380B">
      <w:pPr>
        <w:tabs>
          <w:tab w:val="left" w:pos="1400"/>
        </w:tabs>
        <w:jc w:val="both"/>
        <w:rPr>
          <w:sz w:val="24"/>
          <w:szCs w:val="24"/>
        </w:rPr>
      </w:pPr>
    </w:p>
    <w:p w14:paraId="57F88345" w14:textId="200F8C79" w:rsidR="003B380B" w:rsidRDefault="003B380B" w:rsidP="003B380B">
      <w:pPr>
        <w:tabs>
          <w:tab w:val="left" w:pos="1400"/>
        </w:tabs>
        <w:jc w:val="both"/>
        <w:rPr>
          <w:sz w:val="24"/>
          <w:szCs w:val="24"/>
        </w:rPr>
      </w:pPr>
      <w:r>
        <w:rPr>
          <w:sz w:val="24"/>
          <w:szCs w:val="24"/>
        </w:rPr>
        <w:t>Our Involvement and Engagement team have worked along-side our dedicated involved tenants, the Scrutiny Panel and Check and Challenge</w:t>
      </w:r>
      <w:r w:rsidR="000A0330">
        <w:rPr>
          <w:sz w:val="24"/>
          <w:szCs w:val="24"/>
        </w:rPr>
        <w:t xml:space="preserve"> group</w:t>
      </w:r>
      <w:r>
        <w:rPr>
          <w:sz w:val="24"/>
          <w:szCs w:val="24"/>
        </w:rPr>
        <w:t>, to carry out reviews and activities in 2023/2024 which have resulted in recommendations and service improvements</w:t>
      </w:r>
      <w:r w:rsidR="000A0330">
        <w:rPr>
          <w:sz w:val="24"/>
          <w:szCs w:val="24"/>
        </w:rPr>
        <w:t xml:space="preserve"> to be implemented.</w:t>
      </w:r>
    </w:p>
    <w:p w14:paraId="06F5E0D4" w14:textId="77777777" w:rsidR="00D26451" w:rsidRDefault="00D26451" w:rsidP="003B380B">
      <w:pPr>
        <w:tabs>
          <w:tab w:val="left" w:pos="1400"/>
        </w:tabs>
        <w:jc w:val="both"/>
        <w:rPr>
          <w:sz w:val="24"/>
          <w:szCs w:val="24"/>
          <w:u w:val="single"/>
        </w:rPr>
      </w:pPr>
    </w:p>
    <w:p w14:paraId="740EA018" w14:textId="068A694A" w:rsidR="008805B0" w:rsidRPr="00A729E5" w:rsidRDefault="008805B0" w:rsidP="003B380B">
      <w:pPr>
        <w:tabs>
          <w:tab w:val="left" w:pos="1400"/>
        </w:tabs>
        <w:jc w:val="both"/>
        <w:rPr>
          <w:b/>
          <w:bCs/>
          <w:sz w:val="24"/>
          <w:szCs w:val="24"/>
          <w:u w:val="single"/>
        </w:rPr>
      </w:pPr>
      <w:r w:rsidRPr="00A729E5">
        <w:rPr>
          <w:b/>
          <w:bCs/>
          <w:sz w:val="24"/>
          <w:szCs w:val="24"/>
          <w:u w:val="single"/>
        </w:rPr>
        <w:t>Scrutiny Panel</w:t>
      </w:r>
    </w:p>
    <w:p w14:paraId="70670F03" w14:textId="05B1A30C" w:rsidR="004528AF" w:rsidRDefault="00C106EC" w:rsidP="008805B0">
      <w:pPr>
        <w:tabs>
          <w:tab w:val="left" w:pos="1400"/>
        </w:tabs>
        <w:jc w:val="both"/>
        <w:rPr>
          <w:bCs/>
          <w:sz w:val="24"/>
          <w:szCs w:val="24"/>
        </w:rPr>
      </w:pPr>
      <w:bookmarkStart w:id="3" w:name="_Hlk147305187"/>
      <w:r w:rsidRPr="008805B0">
        <w:rPr>
          <w:bCs/>
          <w:sz w:val="24"/>
          <w:szCs w:val="24"/>
        </w:rPr>
        <w:t>The Scrutiny Panel completed the Green Homes Grant review which made 15 recommendations for improvement that are due to be delivered during 2024-25 and where</w:t>
      </w:r>
      <w:r w:rsidRPr="008805B0">
        <w:rPr>
          <w:sz w:val="24"/>
          <w:szCs w:val="24"/>
          <w:lang w:val="en-US"/>
        </w:rPr>
        <w:t xml:space="preserve"> similar projects are to be delivered in future. The recommendations </w:t>
      </w:r>
      <w:r w:rsidRPr="008805B0">
        <w:rPr>
          <w:bCs/>
          <w:sz w:val="24"/>
          <w:szCs w:val="24"/>
        </w:rPr>
        <w:t>focus mainly on how to improve customer communications and enhance the customer experience</w:t>
      </w:r>
      <w:bookmarkEnd w:id="3"/>
      <w:r w:rsidR="008805B0">
        <w:rPr>
          <w:bCs/>
          <w:sz w:val="24"/>
          <w:szCs w:val="24"/>
        </w:rPr>
        <w:t>.</w:t>
      </w:r>
    </w:p>
    <w:p w14:paraId="50C7D09A" w14:textId="77777777" w:rsidR="00280319" w:rsidRPr="008805B0" w:rsidRDefault="00280319" w:rsidP="008805B0">
      <w:pPr>
        <w:tabs>
          <w:tab w:val="left" w:pos="1400"/>
        </w:tabs>
        <w:jc w:val="both"/>
        <w:rPr>
          <w:sz w:val="24"/>
          <w:szCs w:val="24"/>
        </w:rPr>
      </w:pPr>
    </w:p>
    <w:p w14:paraId="2B26BA9A" w14:textId="7E850A75" w:rsidR="008805B0" w:rsidRPr="00A729E5" w:rsidRDefault="008805B0" w:rsidP="008805B0">
      <w:pPr>
        <w:tabs>
          <w:tab w:val="left" w:pos="1400"/>
        </w:tabs>
        <w:jc w:val="both"/>
        <w:rPr>
          <w:b/>
          <w:bCs/>
          <w:sz w:val="24"/>
          <w:szCs w:val="24"/>
          <w:u w:val="single"/>
        </w:rPr>
      </w:pPr>
      <w:r w:rsidRPr="00A729E5">
        <w:rPr>
          <w:b/>
          <w:bCs/>
          <w:sz w:val="24"/>
          <w:szCs w:val="24"/>
          <w:u w:val="single"/>
        </w:rPr>
        <w:t>Check and Challenge</w:t>
      </w:r>
    </w:p>
    <w:p w14:paraId="45B5E819" w14:textId="3C94D926" w:rsidR="00013828" w:rsidRPr="00C121D7" w:rsidRDefault="00B30620" w:rsidP="005D2809">
      <w:pPr>
        <w:tabs>
          <w:tab w:val="left" w:pos="1400"/>
        </w:tabs>
        <w:jc w:val="both"/>
        <w:rPr>
          <w:rFonts w:cs="Arial"/>
          <w:sz w:val="24"/>
          <w:szCs w:val="24"/>
        </w:rPr>
      </w:pPr>
      <w:r w:rsidRPr="00F647AB">
        <w:rPr>
          <w:sz w:val="24"/>
          <w:szCs w:val="24"/>
        </w:rPr>
        <w:t xml:space="preserve">Complaints Handling Review </w:t>
      </w:r>
      <w:r w:rsidR="005D2809">
        <w:rPr>
          <w:sz w:val="24"/>
          <w:szCs w:val="24"/>
        </w:rPr>
        <w:t xml:space="preserve">- </w:t>
      </w:r>
      <w:r w:rsidR="00013828" w:rsidRPr="00C121D7">
        <w:rPr>
          <w:rFonts w:cs="Arial"/>
          <w:sz w:val="24"/>
          <w:szCs w:val="24"/>
        </w:rPr>
        <w:t xml:space="preserve">The review focused on the customer experience of the Stage 1 not upheld response letter by carrying out Customer Journey Mapping with a sample of customers. A Mystery Shopping exercise also explored the advice/support provided by the </w:t>
      </w:r>
      <w:r w:rsidR="00A729E5">
        <w:rPr>
          <w:rFonts w:cs="Arial"/>
          <w:sz w:val="24"/>
          <w:szCs w:val="24"/>
        </w:rPr>
        <w:t>Housing Service Centre.</w:t>
      </w:r>
    </w:p>
    <w:p w14:paraId="3CFD3FBF" w14:textId="26A622A2" w:rsidR="00C121D7" w:rsidRDefault="00C121D7" w:rsidP="00C121D7">
      <w:pPr>
        <w:pStyle w:val="ListParagraph"/>
        <w:numPr>
          <w:ilvl w:val="0"/>
          <w:numId w:val="15"/>
        </w:numPr>
        <w:rPr>
          <w:rFonts w:cs="Arial"/>
          <w:sz w:val="24"/>
          <w:szCs w:val="24"/>
        </w:rPr>
      </w:pPr>
      <w:r w:rsidRPr="00C121D7">
        <w:rPr>
          <w:rFonts w:cs="Arial"/>
          <w:sz w:val="24"/>
          <w:szCs w:val="24"/>
        </w:rPr>
        <w:lastRenderedPageBreak/>
        <w:t>Complaint letter templates have been updated with suggestions made by the tenants including adding a link to the complaints policy on the website within the acknowledgement letters so customers can view the full complaints policy and understand the process/timescales</w:t>
      </w:r>
    </w:p>
    <w:p w14:paraId="0A4951B4" w14:textId="77777777" w:rsidR="00C121D7" w:rsidRDefault="00C121D7" w:rsidP="00C121D7">
      <w:pPr>
        <w:pStyle w:val="ListParagraph"/>
        <w:ind w:left="1080"/>
        <w:rPr>
          <w:rFonts w:cs="Arial"/>
          <w:sz w:val="24"/>
          <w:szCs w:val="24"/>
        </w:rPr>
      </w:pPr>
    </w:p>
    <w:p w14:paraId="2D870165" w14:textId="29E7CA52" w:rsidR="00C121D7" w:rsidRPr="00C121D7" w:rsidRDefault="00C121D7" w:rsidP="00C121D7">
      <w:pPr>
        <w:pStyle w:val="ListParagraph"/>
        <w:numPr>
          <w:ilvl w:val="0"/>
          <w:numId w:val="15"/>
        </w:numPr>
        <w:rPr>
          <w:rFonts w:cs="Arial"/>
          <w:sz w:val="24"/>
          <w:szCs w:val="24"/>
        </w:rPr>
      </w:pPr>
      <w:r w:rsidRPr="00C121D7">
        <w:rPr>
          <w:rFonts w:cs="Arial"/>
          <w:sz w:val="24"/>
          <w:szCs w:val="24"/>
        </w:rPr>
        <w:t xml:space="preserve">Refresher training is being provided to </w:t>
      </w:r>
      <w:r w:rsidR="00A729E5">
        <w:rPr>
          <w:rFonts w:cs="Arial"/>
          <w:sz w:val="24"/>
          <w:szCs w:val="24"/>
        </w:rPr>
        <w:t>Housing Service Centre</w:t>
      </w:r>
      <w:r w:rsidRPr="00C121D7">
        <w:rPr>
          <w:rFonts w:cs="Arial"/>
          <w:sz w:val="24"/>
          <w:szCs w:val="24"/>
        </w:rPr>
        <w:t xml:space="preserve"> staff on logging and escalating complaints; and customer care training is to be rolled out to staff including operatives to ensure they are treating customer’s homes with respect when visiting</w:t>
      </w:r>
    </w:p>
    <w:p w14:paraId="08E6A337" w14:textId="77777777" w:rsidR="00D26451" w:rsidRPr="00013828" w:rsidRDefault="00D26451" w:rsidP="00A729E5">
      <w:pPr>
        <w:pStyle w:val="ListParagraph"/>
        <w:ind w:left="1080"/>
        <w:contextualSpacing w:val="0"/>
        <w:rPr>
          <w:rFonts w:cs="Arial"/>
          <w:sz w:val="24"/>
          <w:szCs w:val="24"/>
        </w:rPr>
      </w:pPr>
    </w:p>
    <w:p w14:paraId="75CC700E" w14:textId="62D3750C" w:rsidR="00280319" w:rsidRPr="00A729E5" w:rsidRDefault="00280319" w:rsidP="005D2809">
      <w:pPr>
        <w:tabs>
          <w:tab w:val="left" w:pos="1400"/>
        </w:tabs>
        <w:jc w:val="both"/>
        <w:rPr>
          <w:rFonts w:cs="Arial"/>
          <w:sz w:val="24"/>
          <w:szCs w:val="24"/>
        </w:rPr>
      </w:pPr>
      <w:r w:rsidRPr="00A729E5">
        <w:rPr>
          <w:sz w:val="24"/>
          <w:szCs w:val="24"/>
        </w:rPr>
        <w:t>Complaints Policy</w:t>
      </w:r>
      <w:r w:rsidR="005D2809">
        <w:rPr>
          <w:sz w:val="24"/>
          <w:szCs w:val="24"/>
        </w:rPr>
        <w:t xml:space="preserve"> - </w:t>
      </w:r>
      <w:r w:rsidRPr="00A729E5">
        <w:rPr>
          <w:rFonts w:cs="Arial"/>
          <w:sz w:val="24"/>
          <w:szCs w:val="24"/>
        </w:rPr>
        <w:t>The revised policy was reviewed to comply with the Housing Ombudsman’s Complaints Handling Code</w:t>
      </w:r>
      <w:r w:rsidR="00071615">
        <w:rPr>
          <w:rFonts w:cs="Arial"/>
          <w:sz w:val="24"/>
          <w:szCs w:val="24"/>
        </w:rPr>
        <w:t>.</w:t>
      </w:r>
    </w:p>
    <w:p w14:paraId="5863A21B" w14:textId="1AC75860" w:rsidR="00D26451" w:rsidRPr="00A729E5" w:rsidRDefault="00D26451" w:rsidP="00D26451">
      <w:pPr>
        <w:pStyle w:val="ListParagraph"/>
        <w:numPr>
          <w:ilvl w:val="0"/>
          <w:numId w:val="15"/>
        </w:numPr>
        <w:rPr>
          <w:rFonts w:cs="Arial"/>
          <w:sz w:val="24"/>
          <w:szCs w:val="24"/>
        </w:rPr>
      </w:pPr>
      <w:r w:rsidRPr="00A729E5">
        <w:rPr>
          <w:rFonts w:cs="Arial"/>
          <w:sz w:val="24"/>
          <w:szCs w:val="24"/>
        </w:rPr>
        <w:t xml:space="preserve">The section in the complaints policy in relation to ‘Unreasonable and/or Persistent complainants’ has been updated to reflect and coincide with </w:t>
      </w:r>
      <w:r w:rsidR="00A729E5">
        <w:rPr>
          <w:rFonts w:cs="Arial"/>
          <w:sz w:val="24"/>
          <w:szCs w:val="24"/>
        </w:rPr>
        <w:t xml:space="preserve">the </w:t>
      </w:r>
      <w:r w:rsidRPr="00A729E5">
        <w:rPr>
          <w:rFonts w:cs="Arial"/>
          <w:sz w:val="24"/>
          <w:szCs w:val="24"/>
        </w:rPr>
        <w:t>updated ‘Managing Unacceptable Behaviour Policy’</w:t>
      </w:r>
    </w:p>
    <w:p w14:paraId="4FEE3C66" w14:textId="77777777" w:rsidR="00D26451" w:rsidRPr="00A729E5" w:rsidRDefault="00D26451" w:rsidP="00D26451">
      <w:pPr>
        <w:pStyle w:val="ListParagraph"/>
        <w:ind w:left="1080"/>
        <w:rPr>
          <w:rFonts w:cs="Arial"/>
          <w:sz w:val="24"/>
          <w:szCs w:val="24"/>
        </w:rPr>
      </w:pPr>
    </w:p>
    <w:p w14:paraId="014EC0B3" w14:textId="06B9EFFA" w:rsidR="00D26451" w:rsidRPr="00A729E5" w:rsidRDefault="00D26451" w:rsidP="00D26451">
      <w:pPr>
        <w:pStyle w:val="ListParagraph"/>
        <w:numPr>
          <w:ilvl w:val="0"/>
          <w:numId w:val="15"/>
        </w:numPr>
        <w:rPr>
          <w:rFonts w:cs="Arial"/>
          <w:sz w:val="24"/>
          <w:szCs w:val="24"/>
        </w:rPr>
      </w:pPr>
      <w:r w:rsidRPr="00A729E5">
        <w:rPr>
          <w:rFonts w:cs="Arial"/>
          <w:sz w:val="24"/>
          <w:szCs w:val="24"/>
        </w:rPr>
        <w:t>This was discussed and reviewed by involved tenants who provided invaluable insight from a customer perspective and were positive about the policies and the need to manage unacceptable behaviour</w:t>
      </w:r>
    </w:p>
    <w:p w14:paraId="13DB1FE7" w14:textId="77777777" w:rsidR="00D26451" w:rsidRPr="00280319" w:rsidRDefault="00D26451" w:rsidP="00D26451">
      <w:pPr>
        <w:pStyle w:val="ListParagraph"/>
        <w:ind w:left="1080"/>
        <w:contextualSpacing w:val="0"/>
        <w:rPr>
          <w:rFonts w:cs="Arial"/>
          <w:sz w:val="24"/>
          <w:szCs w:val="24"/>
        </w:rPr>
      </w:pPr>
    </w:p>
    <w:p w14:paraId="3194BADB" w14:textId="496BBE65" w:rsidR="00D40153" w:rsidRPr="00F647AB" w:rsidRDefault="004A1C40" w:rsidP="005D2809">
      <w:pPr>
        <w:tabs>
          <w:tab w:val="left" w:pos="1400"/>
        </w:tabs>
        <w:jc w:val="both"/>
        <w:rPr>
          <w:rFonts w:cs="Arial"/>
          <w:bCs/>
          <w:sz w:val="24"/>
          <w:szCs w:val="24"/>
        </w:rPr>
      </w:pPr>
      <w:r w:rsidRPr="00F647AB">
        <w:rPr>
          <w:sz w:val="24"/>
          <w:szCs w:val="24"/>
        </w:rPr>
        <w:t>Tenant’s Handbook</w:t>
      </w:r>
      <w:r w:rsidR="005D2809">
        <w:rPr>
          <w:sz w:val="24"/>
          <w:szCs w:val="24"/>
        </w:rPr>
        <w:t xml:space="preserve"> - </w:t>
      </w:r>
      <w:r w:rsidR="00D40153" w:rsidRPr="00F647AB">
        <w:rPr>
          <w:rFonts w:cs="Arial"/>
          <w:bCs/>
          <w:sz w:val="24"/>
          <w:szCs w:val="24"/>
        </w:rPr>
        <w:t>The full Tenants Handbook and ‘easy-read’ versions were reviewed.</w:t>
      </w:r>
    </w:p>
    <w:p w14:paraId="2321AEA7" w14:textId="34A5B75C" w:rsidR="00F647AB" w:rsidRDefault="00F647AB" w:rsidP="00F647AB">
      <w:pPr>
        <w:pStyle w:val="ListParagraph"/>
        <w:numPr>
          <w:ilvl w:val="0"/>
          <w:numId w:val="15"/>
        </w:numPr>
        <w:contextualSpacing w:val="0"/>
        <w:rPr>
          <w:rFonts w:cs="Arial"/>
          <w:sz w:val="24"/>
          <w:szCs w:val="24"/>
        </w:rPr>
      </w:pPr>
      <w:r w:rsidRPr="00F647AB">
        <w:rPr>
          <w:rFonts w:cs="Arial"/>
          <w:sz w:val="24"/>
          <w:szCs w:val="24"/>
        </w:rPr>
        <w:t>Improvements were identified by the group to the content for inclusion and how it is to be presented to customers and changes have been made as a result</w:t>
      </w:r>
    </w:p>
    <w:p w14:paraId="6974F1B0" w14:textId="77777777" w:rsidR="00A67AF8" w:rsidRDefault="00A67AF8" w:rsidP="007F11A2">
      <w:pPr>
        <w:rPr>
          <w:rFonts w:cs="Arial"/>
          <w:sz w:val="24"/>
          <w:szCs w:val="24"/>
        </w:rPr>
      </w:pPr>
    </w:p>
    <w:p w14:paraId="05A38499" w14:textId="77777777" w:rsidR="008A18B4" w:rsidRDefault="00A67AF8" w:rsidP="008A18B4">
      <w:pPr>
        <w:pStyle w:val="ListParagraph"/>
        <w:ind w:left="0"/>
        <w:contextualSpacing w:val="0"/>
        <w:rPr>
          <w:rFonts w:cs="Arial"/>
          <w:sz w:val="24"/>
          <w:szCs w:val="24"/>
        </w:rPr>
      </w:pPr>
      <w:r>
        <w:rPr>
          <w:rFonts w:cs="Arial"/>
          <w:sz w:val="24"/>
          <w:szCs w:val="24"/>
        </w:rPr>
        <w:t xml:space="preserve">Damp and Mould Leaflet Review - </w:t>
      </w:r>
      <w:r w:rsidR="008A18B4" w:rsidRPr="008A18B4">
        <w:rPr>
          <w:rFonts w:cs="Arial"/>
          <w:sz w:val="24"/>
          <w:szCs w:val="24"/>
        </w:rPr>
        <w:t>The revised Damp and Mould leaflet used by the newly established Healthy Homes team was reviewed.</w:t>
      </w:r>
    </w:p>
    <w:p w14:paraId="0DF76EE2" w14:textId="6F406251" w:rsidR="00BB78B5" w:rsidRDefault="007239E7" w:rsidP="007239E7">
      <w:pPr>
        <w:pStyle w:val="ListParagraph"/>
        <w:numPr>
          <w:ilvl w:val="0"/>
          <w:numId w:val="15"/>
        </w:numPr>
        <w:contextualSpacing w:val="0"/>
        <w:jc w:val="both"/>
        <w:rPr>
          <w:rFonts w:cs="Arial"/>
          <w:sz w:val="24"/>
          <w:szCs w:val="24"/>
        </w:rPr>
      </w:pPr>
      <w:r w:rsidRPr="007239E7">
        <w:rPr>
          <w:rFonts w:cs="Arial"/>
          <w:sz w:val="24"/>
          <w:szCs w:val="24"/>
        </w:rPr>
        <w:t>Changes have been made to the website and leaflet to ensure clearer information and consistency e.g. in relation to cleaning of condensation and mould</w:t>
      </w:r>
    </w:p>
    <w:p w14:paraId="3F572561" w14:textId="122DDA3E" w:rsidR="009A2023" w:rsidRDefault="009A2023" w:rsidP="009A2023">
      <w:pPr>
        <w:jc w:val="both"/>
        <w:rPr>
          <w:rFonts w:cs="Arial"/>
          <w:sz w:val="24"/>
          <w:szCs w:val="24"/>
        </w:rPr>
      </w:pPr>
    </w:p>
    <w:p w14:paraId="7E93006E" w14:textId="2771CBC3" w:rsidR="009A2023" w:rsidRDefault="009A2023" w:rsidP="009A2023">
      <w:pPr>
        <w:jc w:val="both"/>
        <w:rPr>
          <w:rFonts w:cs="Arial"/>
          <w:sz w:val="24"/>
          <w:szCs w:val="24"/>
        </w:rPr>
      </w:pPr>
      <w:r>
        <w:rPr>
          <w:rFonts w:cs="Arial"/>
          <w:sz w:val="24"/>
          <w:szCs w:val="24"/>
        </w:rPr>
        <w:t>Customer Service Strategy – the strategy and its contents where reviewed.</w:t>
      </w:r>
    </w:p>
    <w:p w14:paraId="6FD8361C" w14:textId="684B7997" w:rsidR="00A422F0" w:rsidRPr="00B4638B" w:rsidRDefault="00877A14" w:rsidP="000F17D7">
      <w:pPr>
        <w:pStyle w:val="ListParagraph"/>
        <w:numPr>
          <w:ilvl w:val="0"/>
          <w:numId w:val="15"/>
        </w:numPr>
        <w:tabs>
          <w:tab w:val="left" w:pos="1400"/>
        </w:tabs>
        <w:spacing w:after="0" w:line="240" w:lineRule="auto"/>
        <w:contextualSpacing w:val="0"/>
        <w:jc w:val="both"/>
        <w:rPr>
          <w:sz w:val="24"/>
          <w:szCs w:val="24"/>
        </w:rPr>
      </w:pPr>
      <w:r w:rsidRPr="00B4638B">
        <w:rPr>
          <w:rFonts w:cs="Arial"/>
          <w:sz w:val="24"/>
          <w:szCs w:val="24"/>
        </w:rPr>
        <w:t>Improvements were identified by the group</w:t>
      </w:r>
      <w:r w:rsidR="00B4638B" w:rsidRPr="00B4638B">
        <w:rPr>
          <w:rFonts w:cs="Arial"/>
          <w:sz w:val="24"/>
          <w:szCs w:val="24"/>
        </w:rPr>
        <w:t xml:space="preserve"> for the</w:t>
      </w:r>
      <w:r w:rsidRPr="00B4638B">
        <w:rPr>
          <w:rFonts w:cs="Arial"/>
          <w:sz w:val="24"/>
          <w:szCs w:val="24"/>
        </w:rPr>
        <w:t xml:space="preserve"> strategy</w:t>
      </w:r>
      <w:r w:rsidR="00B4638B" w:rsidRPr="00B4638B">
        <w:rPr>
          <w:rFonts w:cs="Arial"/>
          <w:sz w:val="24"/>
          <w:szCs w:val="24"/>
        </w:rPr>
        <w:t xml:space="preserve"> - t</w:t>
      </w:r>
      <w:r w:rsidRPr="00B4638B">
        <w:rPr>
          <w:rFonts w:cs="Arial"/>
          <w:sz w:val="24"/>
          <w:szCs w:val="24"/>
        </w:rPr>
        <w:t>hese related to ways that customer communication could be enhanced, including in relation to customer profile information and accessibility requirements</w:t>
      </w:r>
    </w:p>
    <w:p w14:paraId="52CF4205" w14:textId="04C898D6" w:rsidR="00B4638B" w:rsidRDefault="00B4638B">
      <w:pPr>
        <w:rPr>
          <w:rFonts w:cs="Arial"/>
          <w:sz w:val="24"/>
          <w:szCs w:val="24"/>
        </w:rPr>
      </w:pPr>
      <w:r>
        <w:rPr>
          <w:rFonts w:cs="Arial"/>
          <w:sz w:val="24"/>
          <w:szCs w:val="24"/>
        </w:rPr>
        <w:br w:type="page"/>
      </w:r>
    </w:p>
    <w:p w14:paraId="1E9BEE62" w14:textId="3CAC0429" w:rsidR="00B4638B" w:rsidRDefault="00B4638B" w:rsidP="00B4638B">
      <w:pPr>
        <w:tabs>
          <w:tab w:val="left" w:pos="1400"/>
        </w:tabs>
        <w:spacing w:after="0" w:line="240" w:lineRule="auto"/>
        <w:jc w:val="both"/>
        <w:rPr>
          <w:b/>
          <w:bCs/>
          <w:sz w:val="36"/>
          <w:szCs w:val="36"/>
        </w:rPr>
      </w:pPr>
      <w:r w:rsidRPr="00B4638B">
        <w:rPr>
          <w:b/>
          <w:bCs/>
          <w:sz w:val="36"/>
          <w:szCs w:val="36"/>
        </w:rPr>
        <w:lastRenderedPageBreak/>
        <w:t>Compliments</w:t>
      </w:r>
    </w:p>
    <w:p w14:paraId="5D6414C1" w14:textId="77777777" w:rsidR="00B4638B" w:rsidRDefault="00B4638B" w:rsidP="00B4638B">
      <w:pPr>
        <w:tabs>
          <w:tab w:val="left" w:pos="1400"/>
        </w:tabs>
        <w:spacing w:after="0" w:line="240" w:lineRule="auto"/>
        <w:jc w:val="both"/>
        <w:rPr>
          <w:b/>
          <w:bCs/>
          <w:sz w:val="36"/>
          <w:szCs w:val="36"/>
        </w:rPr>
      </w:pPr>
    </w:p>
    <w:p w14:paraId="7360FB32" w14:textId="31AAAF79" w:rsidR="007032F3" w:rsidRDefault="007032F3" w:rsidP="00B4638B">
      <w:pPr>
        <w:tabs>
          <w:tab w:val="left" w:pos="1400"/>
        </w:tabs>
        <w:spacing w:after="0" w:line="240" w:lineRule="auto"/>
        <w:jc w:val="both"/>
        <w:rPr>
          <w:sz w:val="24"/>
          <w:szCs w:val="24"/>
        </w:rPr>
      </w:pPr>
      <w:r>
        <w:rPr>
          <w:sz w:val="24"/>
          <w:szCs w:val="24"/>
        </w:rPr>
        <w:t xml:space="preserve">South Tyneside Homes received </w:t>
      </w:r>
      <w:r w:rsidR="009403BF" w:rsidRPr="009403BF">
        <w:rPr>
          <w:b/>
          <w:bCs/>
          <w:sz w:val="24"/>
          <w:szCs w:val="24"/>
        </w:rPr>
        <w:t>822</w:t>
      </w:r>
      <w:r w:rsidR="009403BF">
        <w:rPr>
          <w:sz w:val="24"/>
          <w:szCs w:val="24"/>
        </w:rPr>
        <w:t xml:space="preserve"> compliments from customers in 2023/2024. </w:t>
      </w:r>
      <w:r w:rsidR="003E0FAF">
        <w:rPr>
          <w:sz w:val="24"/>
          <w:szCs w:val="24"/>
        </w:rPr>
        <w:t>We appreciate and celebrate all positive feedback received from our customers.</w:t>
      </w:r>
    </w:p>
    <w:p w14:paraId="50854B3F" w14:textId="77777777" w:rsidR="00964C02" w:rsidRDefault="00964C02" w:rsidP="00964C02">
      <w:pPr>
        <w:spacing w:after="0" w:line="240" w:lineRule="auto"/>
        <w:rPr>
          <w:sz w:val="24"/>
          <w:szCs w:val="24"/>
        </w:rPr>
      </w:pPr>
    </w:p>
    <w:p w14:paraId="0AE0F799" w14:textId="0DF8EE94" w:rsidR="00964C02" w:rsidRPr="00964C02" w:rsidRDefault="00964C02" w:rsidP="00964C02">
      <w:pPr>
        <w:spacing w:after="0" w:line="240" w:lineRule="auto"/>
        <w:jc w:val="both"/>
        <w:rPr>
          <w:rFonts w:cs="Arial"/>
          <w:bCs/>
          <w:sz w:val="24"/>
          <w:szCs w:val="24"/>
        </w:rPr>
      </w:pPr>
      <w:r w:rsidRPr="00964C02">
        <w:rPr>
          <w:rFonts w:cs="Arial"/>
          <w:bCs/>
          <w:sz w:val="24"/>
          <w:szCs w:val="24"/>
        </w:rPr>
        <w:t>There are two main criteria which are used for customers to provide compliments:</w:t>
      </w:r>
    </w:p>
    <w:p w14:paraId="0F687012" w14:textId="77777777" w:rsidR="00964C02" w:rsidRPr="00964C02" w:rsidRDefault="00964C02" w:rsidP="00964C02">
      <w:pPr>
        <w:spacing w:after="0" w:line="240" w:lineRule="auto"/>
        <w:jc w:val="both"/>
        <w:rPr>
          <w:rFonts w:cs="Arial"/>
          <w:bCs/>
          <w:sz w:val="24"/>
          <w:szCs w:val="24"/>
        </w:rPr>
      </w:pPr>
    </w:p>
    <w:p w14:paraId="29B2CAD5" w14:textId="77777777" w:rsidR="00964C02" w:rsidRPr="00964C02" w:rsidRDefault="00964C02" w:rsidP="00964C02">
      <w:pPr>
        <w:numPr>
          <w:ilvl w:val="0"/>
          <w:numId w:val="17"/>
        </w:numPr>
        <w:spacing w:after="0" w:line="240" w:lineRule="auto"/>
        <w:jc w:val="both"/>
        <w:rPr>
          <w:rFonts w:cs="Arial"/>
          <w:bCs/>
          <w:sz w:val="24"/>
          <w:szCs w:val="24"/>
        </w:rPr>
      </w:pPr>
      <w:r w:rsidRPr="00964C02">
        <w:rPr>
          <w:rFonts w:cs="Arial"/>
          <w:bCs/>
          <w:sz w:val="24"/>
          <w:szCs w:val="24"/>
        </w:rPr>
        <w:t>The quality of service they receive</w:t>
      </w:r>
    </w:p>
    <w:p w14:paraId="4B1C0F3E" w14:textId="77777777" w:rsidR="00964C02" w:rsidRDefault="00964C02" w:rsidP="00964C02">
      <w:pPr>
        <w:numPr>
          <w:ilvl w:val="0"/>
          <w:numId w:val="17"/>
        </w:numPr>
        <w:spacing w:after="0" w:line="240" w:lineRule="auto"/>
        <w:jc w:val="both"/>
        <w:rPr>
          <w:rFonts w:cs="Arial"/>
          <w:bCs/>
          <w:sz w:val="24"/>
          <w:szCs w:val="24"/>
        </w:rPr>
      </w:pPr>
      <w:r w:rsidRPr="00964C02">
        <w:rPr>
          <w:rFonts w:cs="Arial"/>
          <w:bCs/>
          <w:sz w:val="24"/>
          <w:szCs w:val="24"/>
        </w:rPr>
        <w:t>The attitude of our employees</w:t>
      </w:r>
    </w:p>
    <w:p w14:paraId="507E83C9" w14:textId="77777777" w:rsidR="00964C02" w:rsidRDefault="00964C02" w:rsidP="00964C02">
      <w:pPr>
        <w:spacing w:after="0" w:line="240" w:lineRule="auto"/>
        <w:jc w:val="both"/>
        <w:rPr>
          <w:rFonts w:cs="Arial"/>
          <w:bCs/>
          <w:sz w:val="24"/>
          <w:szCs w:val="24"/>
        </w:rPr>
      </w:pPr>
    </w:p>
    <w:p w14:paraId="324F54F7" w14:textId="693E5E75" w:rsidR="00964C02" w:rsidRDefault="0025380A" w:rsidP="00964C02">
      <w:pPr>
        <w:spacing w:after="0" w:line="240" w:lineRule="auto"/>
        <w:jc w:val="both"/>
        <w:rPr>
          <w:rFonts w:cs="Arial"/>
          <w:bCs/>
          <w:sz w:val="24"/>
          <w:szCs w:val="24"/>
        </w:rPr>
      </w:pPr>
      <w:r w:rsidRPr="0025380A">
        <w:rPr>
          <w:rFonts w:cs="Arial"/>
          <w:bCs/>
          <w:sz w:val="24"/>
          <w:szCs w:val="24"/>
        </w:rPr>
        <w:t>Within these criteria, we received a range of feedback about the supportive, helpful and friendly nature of staff and the quality of work done by operatives in customer’s homes.</w:t>
      </w:r>
      <w:r w:rsidR="003E0FAF">
        <w:rPr>
          <w:rFonts w:cs="Arial"/>
          <w:bCs/>
          <w:sz w:val="24"/>
          <w:szCs w:val="24"/>
        </w:rPr>
        <w:t xml:space="preserve"> </w:t>
      </w:r>
      <w:r w:rsidR="00382661">
        <w:rPr>
          <w:rFonts w:cs="Arial"/>
          <w:bCs/>
          <w:sz w:val="24"/>
          <w:szCs w:val="24"/>
        </w:rPr>
        <w:t>Below is a snapshot of some of the</w:t>
      </w:r>
      <w:r w:rsidR="005470D9">
        <w:rPr>
          <w:rFonts w:cs="Arial"/>
          <w:bCs/>
          <w:sz w:val="24"/>
          <w:szCs w:val="24"/>
        </w:rPr>
        <w:t xml:space="preserve"> </w:t>
      </w:r>
      <w:r w:rsidR="003E0FAF">
        <w:rPr>
          <w:rFonts w:cs="Arial"/>
          <w:bCs/>
          <w:sz w:val="24"/>
          <w:szCs w:val="24"/>
        </w:rPr>
        <w:t>wonderful</w:t>
      </w:r>
      <w:r w:rsidR="00382661">
        <w:rPr>
          <w:rFonts w:cs="Arial"/>
          <w:bCs/>
          <w:sz w:val="24"/>
          <w:szCs w:val="24"/>
        </w:rPr>
        <w:t xml:space="preserve"> compliments that </w:t>
      </w:r>
      <w:r w:rsidR="003A22E1">
        <w:rPr>
          <w:rFonts w:cs="Arial"/>
          <w:bCs/>
          <w:sz w:val="24"/>
          <w:szCs w:val="24"/>
        </w:rPr>
        <w:t xml:space="preserve">we have </w:t>
      </w:r>
      <w:r w:rsidR="005470D9">
        <w:rPr>
          <w:rFonts w:cs="Arial"/>
          <w:bCs/>
          <w:sz w:val="24"/>
          <w:szCs w:val="24"/>
        </w:rPr>
        <w:t>received from customers</w:t>
      </w:r>
      <w:r w:rsidR="003E0FAF">
        <w:rPr>
          <w:rFonts w:cs="Arial"/>
          <w:bCs/>
          <w:sz w:val="24"/>
          <w:szCs w:val="24"/>
        </w:rPr>
        <w:t>.</w:t>
      </w:r>
    </w:p>
    <w:p w14:paraId="73960950" w14:textId="77777777" w:rsidR="004A6AD0" w:rsidRDefault="004A6AD0" w:rsidP="00964C02">
      <w:pPr>
        <w:spacing w:after="0" w:line="240" w:lineRule="auto"/>
        <w:jc w:val="both"/>
        <w:rPr>
          <w:rFonts w:cs="Arial"/>
          <w:bCs/>
          <w:sz w:val="24"/>
          <w:szCs w:val="24"/>
        </w:rPr>
      </w:pPr>
    </w:p>
    <w:p w14:paraId="1D12E994" w14:textId="2777E4F4" w:rsidR="00EA0D0F" w:rsidRDefault="00EA0D0F" w:rsidP="00EA0D0F">
      <w:pPr>
        <w:jc w:val="both"/>
        <w:rPr>
          <w:rFonts w:eastAsia="Times New Roman" w:cs="Times New Roman"/>
          <w:i/>
          <w:iCs/>
          <w:color w:val="000000"/>
          <w:kern w:val="0"/>
          <w:sz w:val="24"/>
          <w:szCs w:val="24"/>
          <w:lang w:eastAsia="en-GB"/>
          <w14:ligatures w14:val="none"/>
        </w:rPr>
      </w:pPr>
      <w:r w:rsidRPr="00EA0D0F">
        <w:rPr>
          <w:rFonts w:cs="Arial"/>
          <w:bCs/>
          <w:i/>
          <w:iCs/>
          <w:sz w:val="24"/>
          <w:szCs w:val="24"/>
        </w:rPr>
        <w:t>“</w:t>
      </w:r>
      <w:r w:rsidRPr="00EA0D0F">
        <w:rPr>
          <w:rFonts w:eastAsia="Times New Roman" w:cs="Times New Roman"/>
          <w:i/>
          <w:iCs/>
          <w:color w:val="000000"/>
          <w:kern w:val="0"/>
          <w:sz w:val="24"/>
          <w:szCs w:val="24"/>
          <w:lang w:eastAsia="en-GB"/>
          <w14:ligatures w14:val="none"/>
        </w:rPr>
        <w:t xml:space="preserve">Would like to say the service has been </w:t>
      </w:r>
      <w:proofErr w:type="gramStart"/>
      <w:r w:rsidRPr="00EA0D0F">
        <w:rPr>
          <w:rFonts w:eastAsia="Times New Roman" w:cs="Times New Roman"/>
          <w:i/>
          <w:iCs/>
          <w:color w:val="000000"/>
          <w:kern w:val="0"/>
          <w:sz w:val="24"/>
          <w:szCs w:val="24"/>
          <w:lang w:eastAsia="en-GB"/>
          <w14:ligatures w14:val="none"/>
        </w:rPr>
        <w:t>really good</w:t>
      </w:r>
      <w:proofErr w:type="gramEnd"/>
      <w:r w:rsidRPr="00EA0D0F">
        <w:rPr>
          <w:rFonts w:eastAsia="Times New Roman" w:cs="Times New Roman"/>
          <w:i/>
          <w:iCs/>
          <w:color w:val="000000"/>
          <w:kern w:val="0"/>
          <w:sz w:val="24"/>
          <w:szCs w:val="24"/>
          <w:lang w:eastAsia="en-GB"/>
          <w14:ligatures w14:val="none"/>
        </w:rPr>
        <w:t xml:space="preserve">, starting from logging the repair via </w:t>
      </w:r>
      <w:r w:rsidR="00BF3326">
        <w:rPr>
          <w:rFonts w:eastAsia="Times New Roman" w:cs="Times New Roman"/>
          <w:i/>
          <w:iCs/>
          <w:color w:val="000000"/>
          <w:kern w:val="0"/>
          <w:sz w:val="24"/>
          <w:szCs w:val="24"/>
          <w:lang w:eastAsia="en-GB"/>
          <w14:ligatures w14:val="none"/>
        </w:rPr>
        <w:t>the Housing Service Centre</w:t>
      </w:r>
      <w:r w:rsidRPr="00EA0D0F">
        <w:rPr>
          <w:rFonts w:eastAsia="Times New Roman" w:cs="Times New Roman"/>
          <w:i/>
          <w:iCs/>
          <w:color w:val="000000"/>
          <w:kern w:val="0"/>
          <w:sz w:val="24"/>
          <w:szCs w:val="24"/>
          <w:lang w:eastAsia="en-GB"/>
          <w14:ligatures w14:val="none"/>
        </w:rPr>
        <w:t xml:space="preserve"> to the service from the plumber today.  I am suffering from stage 4 cancer with no </w:t>
      </w:r>
      <w:proofErr w:type="gramStart"/>
      <w:r w:rsidRPr="00EA0D0F">
        <w:rPr>
          <w:rFonts w:eastAsia="Times New Roman" w:cs="Times New Roman"/>
          <w:i/>
          <w:iCs/>
          <w:color w:val="000000"/>
          <w:kern w:val="0"/>
          <w:sz w:val="24"/>
          <w:szCs w:val="24"/>
          <w:lang w:eastAsia="en-GB"/>
          <w14:ligatures w14:val="none"/>
        </w:rPr>
        <w:t>strength</w:t>
      </w:r>
      <w:proofErr w:type="gramEnd"/>
      <w:r w:rsidRPr="00EA0D0F">
        <w:rPr>
          <w:rFonts w:eastAsia="Times New Roman" w:cs="Times New Roman"/>
          <w:i/>
          <w:iCs/>
          <w:color w:val="000000"/>
          <w:kern w:val="0"/>
          <w:sz w:val="24"/>
          <w:szCs w:val="24"/>
          <w:lang w:eastAsia="en-GB"/>
          <w14:ligatures w14:val="none"/>
        </w:rPr>
        <w:t xml:space="preserve"> and he helped moved the bed and put it back so repair could be completed and he wore a mask.  I am in tears at how good the service has been.”</w:t>
      </w:r>
    </w:p>
    <w:p w14:paraId="38B829D2" w14:textId="00FFC06F" w:rsidR="00287C74" w:rsidRDefault="00287C74" w:rsidP="00287C74">
      <w:pPr>
        <w:jc w:val="both"/>
        <w:rPr>
          <w:rFonts w:eastAsia="Times New Roman" w:cs="Times New Roman"/>
          <w:i/>
          <w:iCs/>
          <w:color w:val="000000"/>
          <w:kern w:val="0"/>
          <w:sz w:val="24"/>
          <w:szCs w:val="24"/>
          <w:lang w:eastAsia="en-GB"/>
          <w14:ligatures w14:val="none"/>
        </w:rPr>
      </w:pPr>
      <w:r w:rsidRPr="0083438F">
        <w:rPr>
          <w:rFonts w:eastAsia="Times New Roman" w:cs="Times New Roman"/>
          <w:i/>
          <w:iCs/>
          <w:color w:val="000000"/>
          <w:kern w:val="0"/>
          <w:sz w:val="24"/>
          <w:szCs w:val="24"/>
          <w:lang w:eastAsia="en-GB"/>
          <w14:ligatures w14:val="none"/>
        </w:rPr>
        <w:t xml:space="preserve">“I would like to raise a compliment for the heating engineer that attended my property. He did a stunning </w:t>
      </w:r>
      <w:proofErr w:type="gramStart"/>
      <w:r w:rsidRPr="0083438F">
        <w:rPr>
          <w:rFonts w:eastAsia="Times New Roman" w:cs="Times New Roman"/>
          <w:i/>
          <w:iCs/>
          <w:color w:val="000000"/>
          <w:kern w:val="0"/>
          <w:sz w:val="24"/>
          <w:szCs w:val="24"/>
          <w:lang w:eastAsia="en-GB"/>
          <w14:ligatures w14:val="none"/>
        </w:rPr>
        <w:t>job</w:t>
      </w:r>
      <w:proofErr w:type="gramEnd"/>
      <w:r w:rsidRPr="0083438F">
        <w:rPr>
          <w:rFonts w:eastAsia="Times New Roman" w:cs="Times New Roman"/>
          <w:i/>
          <w:iCs/>
          <w:color w:val="000000"/>
          <w:kern w:val="0"/>
          <w:sz w:val="24"/>
          <w:szCs w:val="24"/>
          <w:lang w:eastAsia="en-GB"/>
          <w14:ligatures w14:val="none"/>
        </w:rPr>
        <w:t xml:space="preserve"> and his communication was exemplary.”</w:t>
      </w:r>
    </w:p>
    <w:p w14:paraId="0BF58A07" w14:textId="751AD415" w:rsidR="00F50785" w:rsidRDefault="00F50785" w:rsidP="00F50785">
      <w:pPr>
        <w:jc w:val="both"/>
        <w:rPr>
          <w:rFonts w:eastAsia="Times New Roman" w:cs="Times New Roman"/>
          <w:i/>
          <w:iCs/>
          <w:color w:val="000000"/>
          <w:kern w:val="0"/>
          <w:sz w:val="24"/>
          <w:szCs w:val="24"/>
          <w:lang w:eastAsia="en-GB"/>
          <w14:ligatures w14:val="none"/>
        </w:rPr>
      </w:pPr>
      <w:r w:rsidRPr="00F50785">
        <w:rPr>
          <w:rFonts w:eastAsia="Times New Roman" w:cs="Times New Roman"/>
          <w:i/>
          <w:iCs/>
          <w:color w:val="000000"/>
          <w:kern w:val="0"/>
          <w:sz w:val="24"/>
          <w:szCs w:val="24"/>
          <w:lang w:eastAsia="en-GB"/>
          <w14:ligatures w14:val="none"/>
        </w:rPr>
        <w:t>“Tenant</w:t>
      </w:r>
      <w:r w:rsidR="00F83EDF">
        <w:rPr>
          <w:rFonts w:eastAsia="Times New Roman" w:cs="Times New Roman"/>
          <w:i/>
          <w:iCs/>
          <w:color w:val="000000"/>
          <w:kern w:val="0"/>
          <w:sz w:val="24"/>
          <w:szCs w:val="24"/>
          <w:lang w:eastAsia="en-GB"/>
          <w14:ligatures w14:val="none"/>
        </w:rPr>
        <w:t xml:space="preserve"> would </w:t>
      </w:r>
      <w:r w:rsidR="009A1013">
        <w:rPr>
          <w:rFonts w:eastAsia="Times New Roman" w:cs="Times New Roman"/>
          <w:i/>
          <w:iCs/>
          <w:color w:val="000000"/>
          <w:kern w:val="0"/>
          <w:sz w:val="24"/>
          <w:szCs w:val="24"/>
          <w:lang w:eastAsia="en-GB"/>
          <w14:ligatures w14:val="none"/>
        </w:rPr>
        <w:t>like to thank the electricians as she</w:t>
      </w:r>
      <w:r w:rsidRPr="00F50785">
        <w:rPr>
          <w:rFonts w:eastAsia="Times New Roman" w:cs="Times New Roman"/>
          <w:i/>
          <w:iCs/>
          <w:color w:val="000000"/>
          <w:kern w:val="0"/>
          <w:sz w:val="24"/>
          <w:szCs w:val="24"/>
          <w:lang w:eastAsia="en-GB"/>
          <w14:ligatures w14:val="none"/>
        </w:rPr>
        <w:t xml:space="preserve"> was very appreciative with how patient and understand</w:t>
      </w:r>
      <w:r>
        <w:rPr>
          <w:rFonts w:eastAsia="Times New Roman" w:cs="Times New Roman"/>
          <w:i/>
          <w:iCs/>
          <w:color w:val="000000"/>
          <w:kern w:val="0"/>
          <w:sz w:val="24"/>
          <w:szCs w:val="24"/>
          <w:lang w:eastAsia="en-GB"/>
          <w14:ligatures w14:val="none"/>
        </w:rPr>
        <w:t>ing</w:t>
      </w:r>
      <w:r w:rsidRPr="00F50785">
        <w:rPr>
          <w:rFonts w:eastAsia="Times New Roman" w:cs="Times New Roman"/>
          <w:i/>
          <w:iCs/>
          <w:color w:val="000000"/>
          <w:kern w:val="0"/>
          <w:sz w:val="24"/>
          <w:szCs w:val="24"/>
          <w:lang w:eastAsia="en-GB"/>
          <w14:ligatures w14:val="none"/>
        </w:rPr>
        <w:t xml:space="preserve"> the</w:t>
      </w:r>
      <w:r w:rsidR="009A1013">
        <w:rPr>
          <w:rFonts w:eastAsia="Times New Roman" w:cs="Times New Roman"/>
          <w:i/>
          <w:iCs/>
          <w:color w:val="000000"/>
          <w:kern w:val="0"/>
          <w:sz w:val="24"/>
          <w:szCs w:val="24"/>
          <w:lang w:eastAsia="en-GB"/>
          <w14:ligatures w14:val="none"/>
        </w:rPr>
        <w:t>y</w:t>
      </w:r>
      <w:r w:rsidRPr="00F50785">
        <w:rPr>
          <w:rFonts w:eastAsia="Times New Roman" w:cs="Times New Roman"/>
          <w:i/>
          <w:iCs/>
          <w:color w:val="000000"/>
          <w:kern w:val="0"/>
          <w:sz w:val="24"/>
          <w:szCs w:val="24"/>
          <w:lang w:eastAsia="en-GB"/>
          <w14:ligatures w14:val="none"/>
        </w:rPr>
        <w:t xml:space="preserve"> were </w:t>
      </w:r>
      <w:r w:rsidR="00F83EDF">
        <w:rPr>
          <w:rFonts w:eastAsia="Times New Roman" w:cs="Times New Roman"/>
          <w:i/>
          <w:iCs/>
          <w:color w:val="000000"/>
          <w:kern w:val="0"/>
          <w:sz w:val="24"/>
          <w:szCs w:val="24"/>
          <w:lang w:eastAsia="en-GB"/>
          <w14:ligatures w14:val="none"/>
        </w:rPr>
        <w:t xml:space="preserve">with her Autistic son </w:t>
      </w:r>
      <w:r w:rsidRPr="00F50785">
        <w:rPr>
          <w:rFonts w:eastAsia="Times New Roman" w:cs="Times New Roman"/>
          <w:i/>
          <w:iCs/>
          <w:color w:val="000000"/>
          <w:kern w:val="0"/>
          <w:sz w:val="24"/>
          <w:szCs w:val="24"/>
          <w:lang w:eastAsia="en-GB"/>
          <w14:ligatures w14:val="none"/>
        </w:rPr>
        <w:t xml:space="preserve">during the </w:t>
      </w:r>
      <w:r w:rsidR="00F83EDF">
        <w:rPr>
          <w:rFonts w:eastAsia="Times New Roman" w:cs="Times New Roman"/>
          <w:i/>
          <w:iCs/>
          <w:color w:val="000000"/>
          <w:kern w:val="0"/>
          <w:sz w:val="24"/>
          <w:szCs w:val="24"/>
          <w:lang w:eastAsia="en-GB"/>
          <w14:ligatures w14:val="none"/>
        </w:rPr>
        <w:t>E</w:t>
      </w:r>
      <w:r w:rsidRPr="00F50785">
        <w:rPr>
          <w:rFonts w:eastAsia="Times New Roman" w:cs="Times New Roman"/>
          <w:i/>
          <w:iCs/>
          <w:color w:val="000000"/>
          <w:kern w:val="0"/>
          <w:sz w:val="24"/>
          <w:szCs w:val="24"/>
          <w:lang w:eastAsia="en-GB"/>
          <w14:ligatures w14:val="none"/>
        </w:rPr>
        <w:t>lectrical Safety Check</w:t>
      </w:r>
      <w:r>
        <w:rPr>
          <w:rFonts w:eastAsia="Times New Roman" w:cs="Times New Roman"/>
          <w:i/>
          <w:iCs/>
          <w:color w:val="000000"/>
          <w:kern w:val="0"/>
          <w:sz w:val="24"/>
          <w:szCs w:val="24"/>
          <w:lang w:eastAsia="en-GB"/>
          <w14:ligatures w14:val="none"/>
        </w:rPr>
        <w:t>.”</w:t>
      </w:r>
    </w:p>
    <w:p w14:paraId="1F530D19" w14:textId="7DEF5F05" w:rsidR="008B7CB5" w:rsidRDefault="008B7CB5" w:rsidP="008B7CB5">
      <w:pPr>
        <w:jc w:val="both"/>
        <w:rPr>
          <w:rFonts w:eastAsia="Times New Roman" w:cs="Times New Roman"/>
          <w:i/>
          <w:iCs/>
          <w:color w:val="000000"/>
          <w:kern w:val="0"/>
          <w:sz w:val="24"/>
          <w:szCs w:val="24"/>
          <w:lang w:eastAsia="en-GB"/>
          <w14:ligatures w14:val="none"/>
        </w:rPr>
      </w:pPr>
      <w:r w:rsidRPr="00900975">
        <w:rPr>
          <w:rFonts w:eastAsia="Times New Roman" w:cs="Times New Roman"/>
          <w:i/>
          <w:iCs/>
          <w:color w:val="000000"/>
          <w:kern w:val="0"/>
          <w:sz w:val="24"/>
          <w:szCs w:val="24"/>
          <w:lang w:eastAsia="en-GB"/>
          <w14:ligatures w14:val="none"/>
        </w:rPr>
        <w:t xml:space="preserve">“I would like to thank the team at South Tyneside Homes for their support in addressing my tenancy issues, in particular </w:t>
      </w:r>
      <w:r w:rsidR="00973B27" w:rsidRPr="00900975">
        <w:rPr>
          <w:rFonts w:eastAsia="Times New Roman" w:cs="Times New Roman"/>
          <w:i/>
          <w:iCs/>
          <w:color w:val="000000"/>
          <w:kern w:val="0"/>
          <w:sz w:val="24"/>
          <w:szCs w:val="24"/>
          <w:lang w:eastAsia="en-GB"/>
          <w14:ligatures w14:val="none"/>
        </w:rPr>
        <w:t xml:space="preserve">the Electrical manager, </w:t>
      </w:r>
      <w:r w:rsidRPr="00900975">
        <w:rPr>
          <w:rFonts w:eastAsia="Times New Roman" w:cs="Times New Roman"/>
          <w:i/>
          <w:iCs/>
          <w:color w:val="000000"/>
          <w:kern w:val="0"/>
          <w:sz w:val="24"/>
          <w:szCs w:val="24"/>
          <w:lang w:eastAsia="en-GB"/>
          <w14:ligatures w14:val="none"/>
        </w:rPr>
        <w:t>and want to thank him for his support patience and understanding</w:t>
      </w:r>
      <w:r w:rsidR="00900975" w:rsidRPr="00900975">
        <w:rPr>
          <w:rFonts w:eastAsia="Times New Roman" w:cs="Times New Roman"/>
          <w:i/>
          <w:iCs/>
          <w:color w:val="000000"/>
          <w:kern w:val="0"/>
          <w:sz w:val="24"/>
          <w:szCs w:val="24"/>
          <w:lang w:eastAsia="en-GB"/>
          <w14:ligatures w14:val="none"/>
        </w:rPr>
        <w:t>.”</w:t>
      </w:r>
    </w:p>
    <w:p w14:paraId="77E7F6DA" w14:textId="76367B0F" w:rsidR="001C5A1F" w:rsidRDefault="001C5A1F" w:rsidP="001C5A1F">
      <w:pPr>
        <w:jc w:val="both"/>
        <w:rPr>
          <w:rFonts w:eastAsia="Times New Roman" w:cs="Times New Roman"/>
          <w:i/>
          <w:iCs/>
          <w:color w:val="000000"/>
          <w:kern w:val="0"/>
          <w:sz w:val="24"/>
          <w:szCs w:val="24"/>
          <w:lang w:eastAsia="en-GB"/>
          <w14:ligatures w14:val="none"/>
        </w:rPr>
      </w:pPr>
      <w:r w:rsidRPr="001C5A1F">
        <w:rPr>
          <w:rFonts w:eastAsia="Times New Roman" w:cs="Times New Roman"/>
          <w:i/>
          <w:iCs/>
          <w:color w:val="000000"/>
          <w:kern w:val="0"/>
          <w:sz w:val="24"/>
          <w:szCs w:val="24"/>
          <w:lang w:eastAsia="en-GB"/>
          <w14:ligatures w14:val="none"/>
        </w:rPr>
        <w:t xml:space="preserve">“Spoke with customer following joinery works to her kitchen. Customer stated she was absolutely over the moon with the operatives who attended yesterday. The work they have </w:t>
      </w:r>
      <w:proofErr w:type="gramStart"/>
      <w:r w:rsidRPr="001C5A1F">
        <w:rPr>
          <w:rFonts w:eastAsia="Times New Roman" w:cs="Times New Roman"/>
          <w:i/>
          <w:iCs/>
          <w:color w:val="000000"/>
          <w:kern w:val="0"/>
          <w:sz w:val="24"/>
          <w:szCs w:val="24"/>
          <w:lang w:eastAsia="en-GB"/>
          <w14:ligatures w14:val="none"/>
        </w:rPr>
        <w:t>done</w:t>
      </w:r>
      <w:proofErr w:type="gramEnd"/>
      <w:r w:rsidRPr="001C5A1F">
        <w:rPr>
          <w:rFonts w:eastAsia="Times New Roman" w:cs="Times New Roman"/>
          <w:i/>
          <w:iCs/>
          <w:color w:val="000000"/>
          <w:kern w:val="0"/>
          <w:sz w:val="24"/>
          <w:szCs w:val="24"/>
          <w:lang w:eastAsia="en-GB"/>
          <w14:ligatures w14:val="none"/>
        </w:rPr>
        <w:t xml:space="preserve"> and the</w:t>
      </w:r>
      <w:r w:rsidR="00E852DA">
        <w:rPr>
          <w:rFonts w:eastAsia="Times New Roman" w:cs="Times New Roman"/>
          <w:i/>
          <w:iCs/>
          <w:color w:val="000000"/>
          <w:kern w:val="0"/>
          <w:sz w:val="24"/>
          <w:szCs w:val="24"/>
          <w:lang w:eastAsia="en-GB"/>
          <w14:ligatures w14:val="none"/>
        </w:rPr>
        <w:t>ir</w:t>
      </w:r>
      <w:r w:rsidRPr="001C5A1F">
        <w:rPr>
          <w:rFonts w:eastAsia="Times New Roman" w:cs="Times New Roman"/>
          <w:i/>
          <w:iCs/>
          <w:color w:val="000000"/>
          <w:kern w:val="0"/>
          <w:sz w:val="24"/>
          <w:szCs w:val="24"/>
          <w:lang w:eastAsia="en-GB"/>
          <w14:ligatures w14:val="none"/>
        </w:rPr>
        <w:t xml:space="preserve"> attitude was great. They left no mess.”</w:t>
      </w:r>
    </w:p>
    <w:p w14:paraId="3746BC31" w14:textId="23E30742" w:rsidR="00382661" w:rsidRDefault="00382661" w:rsidP="00382661">
      <w:pPr>
        <w:jc w:val="both"/>
        <w:rPr>
          <w:rFonts w:eastAsia="Times New Roman" w:cs="Times New Roman"/>
          <w:i/>
          <w:iCs/>
          <w:color w:val="000000"/>
          <w:kern w:val="0"/>
          <w:sz w:val="24"/>
          <w:szCs w:val="24"/>
          <w:lang w:eastAsia="en-GB"/>
          <w14:ligatures w14:val="none"/>
        </w:rPr>
      </w:pPr>
      <w:r w:rsidRPr="00382661">
        <w:rPr>
          <w:rFonts w:eastAsia="Times New Roman" w:cs="Times New Roman"/>
          <w:i/>
          <w:iCs/>
          <w:color w:val="000000"/>
          <w:kern w:val="0"/>
          <w:sz w:val="24"/>
          <w:szCs w:val="24"/>
          <w:lang w:eastAsia="en-GB"/>
          <w14:ligatures w14:val="none"/>
        </w:rPr>
        <w:t>“Would like to commend the operative who attended the repair for the work carried out. What a lovely man he was and very polite and talking to the tenants. He fitted all the windows himself. Nothing was a bother. Would like this passing to his manager as very happy with the work.”</w:t>
      </w:r>
    </w:p>
    <w:p w14:paraId="523B018C" w14:textId="74BB3188" w:rsidR="00B4638B" w:rsidRPr="000A0330" w:rsidRDefault="00444673" w:rsidP="00E727F4">
      <w:pPr>
        <w:spacing w:after="0" w:line="240" w:lineRule="auto"/>
        <w:jc w:val="both"/>
        <w:rPr>
          <w:sz w:val="24"/>
          <w:szCs w:val="24"/>
        </w:rPr>
      </w:pPr>
      <w:r w:rsidRPr="00444673">
        <w:rPr>
          <w:rFonts w:eastAsia="Times New Roman" w:cs="Times New Roman"/>
          <w:i/>
          <w:iCs/>
          <w:color w:val="000000"/>
          <w:kern w:val="0"/>
          <w:sz w:val="24"/>
          <w:szCs w:val="24"/>
          <w:lang w:eastAsia="en-GB"/>
          <w14:ligatures w14:val="none"/>
        </w:rPr>
        <w:t>“I just wanted to take this opportunity to thank you for all your support and help with my relocation from London to the North</w:t>
      </w:r>
      <w:r>
        <w:rPr>
          <w:rFonts w:eastAsia="Times New Roman" w:cs="Times New Roman"/>
          <w:i/>
          <w:iCs/>
          <w:color w:val="000000"/>
          <w:kern w:val="0"/>
          <w:sz w:val="24"/>
          <w:szCs w:val="24"/>
          <w:lang w:eastAsia="en-GB"/>
          <w14:ligatures w14:val="none"/>
        </w:rPr>
        <w:t>-</w:t>
      </w:r>
      <w:r w:rsidRPr="00444673">
        <w:rPr>
          <w:rFonts w:eastAsia="Times New Roman" w:cs="Times New Roman"/>
          <w:i/>
          <w:iCs/>
          <w:color w:val="000000"/>
          <w:kern w:val="0"/>
          <w:sz w:val="24"/>
          <w:szCs w:val="24"/>
          <w:lang w:eastAsia="en-GB"/>
          <w14:ligatures w14:val="none"/>
        </w:rPr>
        <w:t>East.  You have been amazing and always been so happy to help regardless of how silly the question. You made me aware of all the support available to myself and my family from the Armed Forces.</w:t>
      </w:r>
      <w:r>
        <w:rPr>
          <w:rFonts w:eastAsia="Times New Roman" w:cs="Times New Roman"/>
          <w:i/>
          <w:iCs/>
          <w:color w:val="000000"/>
          <w:kern w:val="0"/>
          <w:sz w:val="24"/>
          <w:szCs w:val="24"/>
          <w:lang w:eastAsia="en-GB"/>
          <w14:ligatures w14:val="none"/>
        </w:rPr>
        <w:t xml:space="preserve"> </w:t>
      </w:r>
      <w:r w:rsidRPr="00444673">
        <w:rPr>
          <w:rFonts w:eastAsia="Times New Roman" w:cs="Times New Roman"/>
          <w:i/>
          <w:iCs/>
          <w:color w:val="000000"/>
          <w:kern w:val="0"/>
          <w:sz w:val="24"/>
          <w:szCs w:val="24"/>
          <w:lang w:eastAsia="en-GB"/>
          <w14:ligatures w14:val="none"/>
        </w:rPr>
        <w:t>I feel I am part of something and this in turn gives me a feeling of community.  Your hard work has made this transition so much easier.  You should be immensely proud of the work and support you offer, as without you many families would struggle.”</w:t>
      </w:r>
    </w:p>
    <w:sectPr w:rsidR="00B4638B" w:rsidRPr="000A03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EA65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D61252"/>
    <w:multiLevelType w:val="hybridMultilevel"/>
    <w:tmpl w:val="EA8CB62A"/>
    <w:lvl w:ilvl="0" w:tplc="04C8C686">
      <w:start w:val="1"/>
      <w:numFmt w:val="bullet"/>
      <w:lvlText w:val="•"/>
      <w:lvlJc w:val="left"/>
      <w:pPr>
        <w:tabs>
          <w:tab w:val="num" w:pos="720"/>
        </w:tabs>
        <w:ind w:left="720" w:hanging="360"/>
      </w:pPr>
      <w:rPr>
        <w:rFonts w:ascii="Arial" w:hAnsi="Arial" w:hint="default"/>
      </w:rPr>
    </w:lvl>
    <w:lvl w:ilvl="1" w:tplc="80AA7DAA" w:tentative="1">
      <w:start w:val="1"/>
      <w:numFmt w:val="bullet"/>
      <w:lvlText w:val="•"/>
      <w:lvlJc w:val="left"/>
      <w:pPr>
        <w:tabs>
          <w:tab w:val="num" w:pos="1440"/>
        </w:tabs>
        <w:ind w:left="1440" w:hanging="360"/>
      </w:pPr>
      <w:rPr>
        <w:rFonts w:ascii="Arial" w:hAnsi="Arial" w:hint="default"/>
      </w:rPr>
    </w:lvl>
    <w:lvl w:ilvl="2" w:tplc="57BAFE3E" w:tentative="1">
      <w:start w:val="1"/>
      <w:numFmt w:val="bullet"/>
      <w:lvlText w:val="•"/>
      <w:lvlJc w:val="left"/>
      <w:pPr>
        <w:tabs>
          <w:tab w:val="num" w:pos="2160"/>
        </w:tabs>
        <w:ind w:left="2160" w:hanging="360"/>
      </w:pPr>
      <w:rPr>
        <w:rFonts w:ascii="Arial" w:hAnsi="Arial" w:hint="default"/>
      </w:rPr>
    </w:lvl>
    <w:lvl w:ilvl="3" w:tplc="32AE9B8E" w:tentative="1">
      <w:start w:val="1"/>
      <w:numFmt w:val="bullet"/>
      <w:lvlText w:val="•"/>
      <w:lvlJc w:val="left"/>
      <w:pPr>
        <w:tabs>
          <w:tab w:val="num" w:pos="2880"/>
        </w:tabs>
        <w:ind w:left="2880" w:hanging="360"/>
      </w:pPr>
      <w:rPr>
        <w:rFonts w:ascii="Arial" w:hAnsi="Arial" w:hint="default"/>
      </w:rPr>
    </w:lvl>
    <w:lvl w:ilvl="4" w:tplc="0D3CF16A" w:tentative="1">
      <w:start w:val="1"/>
      <w:numFmt w:val="bullet"/>
      <w:lvlText w:val="•"/>
      <w:lvlJc w:val="left"/>
      <w:pPr>
        <w:tabs>
          <w:tab w:val="num" w:pos="3600"/>
        </w:tabs>
        <w:ind w:left="3600" w:hanging="360"/>
      </w:pPr>
      <w:rPr>
        <w:rFonts w:ascii="Arial" w:hAnsi="Arial" w:hint="default"/>
      </w:rPr>
    </w:lvl>
    <w:lvl w:ilvl="5" w:tplc="15D61F8A" w:tentative="1">
      <w:start w:val="1"/>
      <w:numFmt w:val="bullet"/>
      <w:lvlText w:val="•"/>
      <w:lvlJc w:val="left"/>
      <w:pPr>
        <w:tabs>
          <w:tab w:val="num" w:pos="4320"/>
        </w:tabs>
        <w:ind w:left="4320" w:hanging="360"/>
      </w:pPr>
      <w:rPr>
        <w:rFonts w:ascii="Arial" w:hAnsi="Arial" w:hint="default"/>
      </w:rPr>
    </w:lvl>
    <w:lvl w:ilvl="6" w:tplc="40EAA156" w:tentative="1">
      <w:start w:val="1"/>
      <w:numFmt w:val="bullet"/>
      <w:lvlText w:val="•"/>
      <w:lvlJc w:val="left"/>
      <w:pPr>
        <w:tabs>
          <w:tab w:val="num" w:pos="5040"/>
        </w:tabs>
        <w:ind w:left="5040" w:hanging="360"/>
      </w:pPr>
      <w:rPr>
        <w:rFonts w:ascii="Arial" w:hAnsi="Arial" w:hint="default"/>
      </w:rPr>
    </w:lvl>
    <w:lvl w:ilvl="7" w:tplc="FA289C50" w:tentative="1">
      <w:start w:val="1"/>
      <w:numFmt w:val="bullet"/>
      <w:lvlText w:val="•"/>
      <w:lvlJc w:val="left"/>
      <w:pPr>
        <w:tabs>
          <w:tab w:val="num" w:pos="5760"/>
        </w:tabs>
        <w:ind w:left="5760" w:hanging="360"/>
      </w:pPr>
      <w:rPr>
        <w:rFonts w:ascii="Arial" w:hAnsi="Arial" w:hint="default"/>
      </w:rPr>
    </w:lvl>
    <w:lvl w:ilvl="8" w:tplc="433EFF5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800FE5"/>
    <w:multiLevelType w:val="hybridMultilevel"/>
    <w:tmpl w:val="3B22E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66D0A52"/>
    <w:multiLevelType w:val="hybridMultilevel"/>
    <w:tmpl w:val="987E90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58F12B4"/>
    <w:multiLevelType w:val="hybridMultilevel"/>
    <w:tmpl w:val="92427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5E324D6"/>
    <w:multiLevelType w:val="hybridMultilevel"/>
    <w:tmpl w:val="D1B82EBC"/>
    <w:lvl w:ilvl="0" w:tplc="47641F5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7E7379"/>
    <w:multiLevelType w:val="hybridMultilevel"/>
    <w:tmpl w:val="7E1218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0AC4A7B"/>
    <w:multiLevelType w:val="hybridMultilevel"/>
    <w:tmpl w:val="F38A949A"/>
    <w:lvl w:ilvl="0" w:tplc="08090001">
      <w:start w:val="1"/>
      <w:numFmt w:val="bullet"/>
      <w:lvlText w:val=""/>
      <w:lvlJc w:val="left"/>
      <w:pPr>
        <w:ind w:left="1080" w:hanging="360"/>
      </w:pPr>
      <w:rPr>
        <w:rFonts w:ascii="Symbol" w:hAnsi="Symbol" w:hint="default"/>
        <w:b/>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5093DD2"/>
    <w:multiLevelType w:val="hybridMultilevel"/>
    <w:tmpl w:val="386A8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5D11669"/>
    <w:multiLevelType w:val="hybridMultilevel"/>
    <w:tmpl w:val="7884D7E8"/>
    <w:lvl w:ilvl="0" w:tplc="36942D6A">
      <w:start w:val="1"/>
      <w:numFmt w:val="decimal"/>
      <w:lvlText w:val="%1."/>
      <w:lvlJc w:val="left"/>
      <w:pPr>
        <w:ind w:left="360" w:hanging="360"/>
      </w:pPr>
      <w:rPr>
        <w:b/>
        <w:color w:val="auto"/>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D612F5"/>
    <w:multiLevelType w:val="hybridMultilevel"/>
    <w:tmpl w:val="956E16D2"/>
    <w:lvl w:ilvl="0" w:tplc="BA222674">
      <w:start w:val="1"/>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4BD7613"/>
    <w:multiLevelType w:val="hybridMultilevel"/>
    <w:tmpl w:val="8CE81162"/>
    <w:lvl w:ilvl="0" w:tplc="4FEEF3AC">
      <w:start w:val="1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82042B"/>
    <w:multiLevelType w:val="multilevel"/>
    <w:tmpl w:val="1FE4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DC31DF4"/>
    <w:multiLevelType w:val="hybridMultilevel"/>
    <w:tmpl w:val="A0602C10"/>
    <w:lvl w:ilvl="0" w:tplc="AA8C2742">
      <w:start w:val="1"/>
      <w:numFmt w:val="bullet"/>
      <w:lvlText w:val="•"/>
      <w:lvlJc w:val="left"/>
      <w:pPr>
        <w:tabs>
          <w:tab w:val="num" w:pos="720"/>
        </w:tabs>
        <w:ind w:left="720" w:hanging="360"/>
      </w:pPr>
      <w:rPr>
        <w:rFonts w:ascii="Arial" w:hAnsi="Arial" w:hint="default"/>
      </w:rPr>
    </w:lvl>
    <w:lvl w:ilvl="1" w:tplc="537873A8" w:tentative="1">
      <w:start w:val="1"/>
      <w:numFmt w:val="bullet"/>
      <w:lvlText w:val="•"/>
      <w:lvlJc w:val="left"/>
      <w:pPr>
        <w:tabs>
          <w:tab w:val="num" w:pos="1440"/>
        </w:tabs>
        <w:ind w:left="1440" w:hanging="360"/>
      </w:pPr>
      <w:rPr>
        <w:rFonts w:ascii="Arial" w:hAnsi="Arial" w:hint="default"/>
      </w:rPr>
    </w:lvl>
    <w:lvl w:ilvl="2" w:tplc="619866D8" w:tentative="1">
      <w:start w:val="1"/>
      <w:numFmt w:val="bullet"/>
      <w:lvlText w:val="•"/>
      <w:lvlJc w:val="left"/>
      <w:pPr>
        <w:tabs>
          <w:tab w:val="num" w:pos="2160"/>
        </w:tabs>
        <w:ind w:left="2160" w:hanging="360"/>
      </w:pPr>
      <w:rPr>
        <w:rFonts w:ascii="Arial" w:hAnsi="Arial" w:hint="default"/>
      </w:rPr>
    </w:lvl>
    <w:lvl w:ilvl="3" w:tplc="CA7EF7DE" w:tentative="1">
      <w:start w:val="1"/>
      <w:numFmt w:val="bullet"/>
      <w:lvlText w:val="•"/>
      <w:lvlJc w:val="left"/>
      <w:pPr>
        <w:tabs>
          <w:tab w:val="num" w:pos="2880"/>
        </w:tabs>
        <w:ind w:left="2880" w:hanging="360"/>
      </w:pPr>
      <w:rPr>
        <w:rFonts w:ascii="Arial" w:hAnsi="Arial" w:hint="default"/>
      </w:rPr>
    </w:lvl>
    <w:lvl w:ilvl="4" w:tplc="A468B5F6" w:tentative="1">
      <w:start w:val="1"/>
      <w:numFmt w:val="bullet"/>
      <w:lvlText w:val="•"/>
      <w:lvlJc w:val="left"/>
      <w:pPr>
        <w:tabs>
          <w:tab w:val="num" w:pos="3600"/>
        </w:tabs>
        <w:ind w:left="3600" w:hanging="360"/>
      </w:pPr>
      <w:rPr>
        <w:rFonts w:ascii="Arial" w:hAnsi="Arial" w:hint="default"/>
      </w:rPr>
    </w:lvl>
    <w:lvl w:ilvl="5" w:tplc="1BBEB720" w:tentative="1">
      <w:start w:val="1"/>
      <w:numFmt w:val="bullet"/>
      <w:lvlText w:val="•"/>
      <w:lvlJc w:val="left"/>
      <w:pPr>
        <w:tabs>
          <w:tab w:val="num" w:pos="4320"/>
        </w:tabs>
        <w:ind w:left="4320" w:hanging="360"/>
      </w:pPr>
      <w:rPr>
        <w:rFonts w:ascii="Arial" w:hAnsi="Arial" w:hint="default"/>
      </w:rPr>
    </w:lvl>
    <w:lvl w:ilvl="6" w:tplc="EBFA920A" w:tentative="1">
      <w:start w:val="1"/>
      <w:numFmt w:val="bullet"/>
      <w:lvlText w:val="•"/>
      <w:lvlJc w:val="left"/>
      <w:pPr>
        <w:tabs>
          <w:tab w:val="num" w:pos="5040"/>
        </w:tabs>
        <w:ind w:left="5040" w:hanging="360"/>
      </w:pPr>
      <w:rPr>
        <w:rFonts w:ascii="Arial" w:hAnsi="Arial" w:hint="default"/>
      </w:rPr>
    </w:lvl>
    <w:lvl w:ilvl="7" w:tplc="3672389C" w:tentative="1">
      <w:start w:val="1"/>
      <w:numFmt w:val="bullet"/>
      <w:lvlText w:val="•"/>
      <w:lvlJc w:val="left"/>
      <w:pPr>
        <w:tabs>
          <w:tab w:val="num" w:pos="5760"/>
        </w:tabs>
        <w:ind w:left="5760" w:hanging="360"/>
      </w:pPr>
      <w:rPr>
        <w:rFonts w:ascii="Arial" w:hAnsi="Arial" w:hint="default"/>
      </w:rPr>
    </w:lvl>
    <w:lvl w:ilvl="8" w:tplc="41FCEE0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2851B49"/>
    <w:multiLevelType w:val="hybridMultilevel"/>
    <w:tmpl w:val="F1AE5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36E1AAE"/>
    <w:multiLevelType w:val="hybridMultilevel"/>
    <w:tmpl w:val="1AC2F400"/>
    <w:lvl w:ilvl="0" w:tplc="01B00494">
      <w:start w:val="89"/>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D9149A"/>
    <w:multiLevelType w:val="hybridMultilevel"/>
    <w:tmpl w:val="D7B4C9EC"/>
    <w:lvl w:ilvl="0" w:tplc="9EC8EA16">
      <w:start w:val="1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2640015">
    <w:abstractNumId w:val="0"/>
  </w:num>
  <w:num w:numId="2" w16cid:durableId="1303537837">
    <w:abstractNumId w:val="15"/>
  </w:num>
  <w:num w:numId="3" w16cid:durableId="1983803180">
    <w:abstractNumId w:val="11"/>
  </w:num>
  <w:num w:numId="4" w16cid:durableId="566957065">
    <w:abstractNumId w:val="16"/>
  </w:num>
  <w:num w:numId="5" w16cid:durableId="1040130277">
    <w:abstractNumId w:val="12"/>
  </w:num>
  <w:num w:numId="6" w16cid:durableId="1275669569">
    <w:abstractNumId w:val="14"/>
  </w:num>
  <w:num w:numId="7" w16cid:durableId="2021197711">
    <w:abstractNumId w:val="13"/>
  </w:num>
  <w:num w:numId="8" w16cid:durableId="1399404355">
    <w:abstractNumId w:val="1"/>
  </w:num>
  <w:num w:numId="9" w16cid:durableId="1973054237">
    <w:abstractNumId w:val="8"/>
  </w:num>
  <w:num w:numId="10" w16cid:durableId="1090656531">
    <w:abstractNumId w:val="2"/>
  </w:num>
  <w:num w:numId="11" w16cid:durableId="232590102">
    <w:abstractNumId w:val="6"/>
  </w:num>
  <w:num w:numId="12" w16cid:durableId="1030640337">
    <w:abstractNumId w:val="3"/>
  </w:num>
  <w:num w:numId="13" w16cid:durableId="2016835272">
    <w:abstractNumId w:val="4"/>
  </w:num>
  <w:num w:numId="14" w16cid:durableId="1606227936">
    <w:abstractNumId w:val="9"/>
  </w:num>
  <w:num w:numId="15" w16cid:durableId="2010674921">
    <w:abstractNumId w:val="7"/>
  </w:num>
  <w:num w:numId="16" w16cid:durableId="97145254">
    <w:abstractNumId w:val="5"/>
  </w:num>
  <w:num w:numId="17" w16cid:durableId="11840552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BB6"/>
    <w:rsid w:val="00013828"/>
    <w:rsid w:val="000147C6"/>
    <w:rsid w:val="00022A3E"/>
    <w:rsid w:val="00031778"/>
    <w:rsid w:val="0004169D"/>
    <w:rsid w:val="00055961"/>
    <w:rsid w:val="00071615"/>
    <w:rsid w:val="00072BB8"/>
    <w:rsid w:val="0009355A"/>
    <w:rsid w:val="000A0330"/>
    <w:rsid w:val="000B7A85"/>
    <w:rsid w:val="000F1F5D"/>
    <w:rsid w:val="000F56AB"/>
    <w:rsid w:val="00117968"/>
    <w:rsid w:val="00125F03"/>
    <w:rsid w:val="00140342"/>
    <w:rsid w:val="00146CC5"/>
    <w:rsid w:val="001742D4"/>
    <w:rsid w:val="001842E1"/>
    <w:rsid w:val="001A782C"/>
    <w:rsid w:val="001B0E0F"/>
    <w:rsid w:val="001B4E31"/>
    <w:rsid w:val="001C1370"/>
    <w:rsid w:val="001C1B1B"/>
    <w:rsid w:val="001C38EE"/>
    <w:rsid w:val="001C5A1F"/>
    <w:rsid w:val="001D21E4"/>
    <w:rsid w:val="001D2A8E"/>
    <w:rsid w:val="001D3F74"/>
    <w:rsid w:val="001D4D4B"/>
    <w:rsid w:val="001E2962"/>
    <w:rsid w:val="002067FA"/>
    <w:rsid w:val="00207AC8"/>
    <w:rsid w:val="00214C20"/>
    <w:rsid w:val="0025077E"/>
    <w:rsid w:val="0025380A"/>
    <w:rsid w:val="00260CC0"/>
    <w:rsid w:val="00271114"/>
    <w:rsid w:val="002715A5"/>
    <w:rsid w:val="00274912"/>
    <w:rsid w:val="00277488"/>
    <w:rsid w:val="00280319"/>
    <w:rsid w:val="00287C74"/>
    <w:rsid w:val="002A069E"/>
    <w:rsid w:val="00306E2A"/>
    <w:rsid w:val="0031162A"/>
    <w:rsid w:val="003130CD"/>
    <w:rsid w:val="00327ED5"/>
    <w:rsid w:val="00347A17"/>
    <w:rsid w:val="00380066"/>
    <w:rsid w:val="00382661"/>
    <w:rsid w:val="003870BE"/>
    <w:rsid w:val="00387FAF"/>
    <w:rsid w:val="0039700A"/>
    <w:rsid w:val="003A1466"/>
    <w:rsid w:val="003A22E1"/>
    <w:rsid w:val="003A72BC"/>
    <w:rsid w:val="003B380B"/>
    <w:rsid w:val="003C17BB"/>
    <w:rsid w:val="003E0FAF"/>
    <w:rsid w:val="003E66E8"/>
    <w:rsid w:val="00420888"/>
    <w:rsid w:val="004221D7"/>
    <w:rsid w:val="00430B98"/>
    <w:rsid w:val="00444673"/>
    <w:rsid w:val="004528AF"/>
    <w:rsid w:val="00464BCC"/>
    <w:rsid w:val="004741A1"/>
    <w:rsid w:val="00481718"/>
    <w:rsid w:val="00492938"/>
    <w:rsid w:val="00493E8E"/>
    <w:rsid w:val="00495834"/>
    <w:rsid w:val="004A1C40"/>
    <w:rsid w:val="004A35F6"/>
    <w:rsid w:val="004A3C44"/>
    <w:rsid w:val="004A6AD0"/>
    <w:rsid w:val="004B4BB6"/>
    <w:rsid w:val="004C1228"/>
    <w:rsid w:val="004C270E"/>
    <w:rsid w:val="004F18AA"/>
    <w:rsid w:val="004F3FA6"/>
    <w:rsid w:val="004F4A17"/>
    <w:rsid w:val="00501310"/>
    <w:rsid w:val="0050384A"/>
    <w:rsid w:val="005117BC"/>
    <w:rsid w:val="005140A6"/>
    <w:rsid w:val="00517425"/>
    <w:rsid w:val="0052379E"/>
    <w:rsid w:val="00525183"/>
    <w:rsid w:val="00542CF0"/>
    <w:rsid w:val="005470D9"/>
    <w:rsid w:val="00550B64"/>
    <w:rsid w:val="00567643"/>
    <w:rsid w:val="00577232"/>
    <w:rsid w:val="005903F8"/>
    <w:rsid w:val="00594018"/>
    <w:rsid w:val="005A24F0"/>
    <w:rsid w:val="005D2809"/>
    <w:rsid w:val="00610B3B"/>
    <w:rsid w:val="00621CC4"/>
    <w:rsid w:val="00631246"/>
    <w:rsid w:val="00631FA5"/>
    <w:rsid w:val="006405B7"/>
    <w:rsid w:val="00650D74"/>
    <w:rsid w:val="00680E30"/>
    <w:rsid w:val="006B6636"/>
    <w:rsid w:val="006C5949"/>
    <w:rsid w:val="006D462D"/>
    <w:rsid w:val="007000B3"/>
    <w:rsid w:val="00702F2C"/>
    <w:rsid w:val="007032F3"/>
    <w:rsid w:val="007155BC"/>
    <w:rsid w:val="007239E7"/>
    <w:rsid w:val="00730179"/>
    <w:rsid w:val="007667E6"/>
    <w:rsid w:val="00780461"/>
    <w:rsid w:val="00783BD5"/>
    <w:rsid w:val="007939F7"/>
    <w:rsid w:val="00794F3A"/>
    <w:rsid w:val="00796207"/>
    <w:rsid w:val="007B0187"/>
    <w:rsid w:val="007D086B"/>
    <w:rsid w:val="007E3F73"/>
    <w:rsid w:val="007E461B"/>
    <w:rsid w:val="007F11A2"/>
    <w:rsid w:val="00811107"/>
    <w:rsid w:val="0081537B"/>
    <w:rsid w:val="0081584A"/>
    <w:rsid w:val="008172E9"/>
    <w:rsid w:val="0082003C"/>
    <w:rsid w:val="00826A61"/>
    <w:rsid w:val="0083438F"/>
    <w:rsid w:val="00841488"/>
    <w:rsid w:val="00841B33"/>
    <w:rsid w:val="00876A02"/>
    <w:rsid w:val="00877A14"/>
    <w:rsid w:val="008805B0"/>
    <w:rsid w:val="008A18B4"/>
    <w:rsid w:val="008B541F"/>
    <w:rsid w:val="008B7CB5"/>
    <w:rsid w:val="008E20F6"/>
    <w:rsid w:val="008E6BEB"/>
    <w:rsid w:val="008F2DAB"/>
    <w:rsid w:val="00900975"/>
    <w:rsid w:val="00901013"/>
    <w:rsid w:val="00903F5A"/>
    <w:rsid w:val="00940033"/>
    <w:rsid w:val="009403BF"/>
    <w:rsid w:val="00954121"/>
    <w:rsid w:val="00962392"/>
    <w:rsid w:val="00964C02"/>
    <w:rsid w:val="009729CF"/>
    <w:rsid w:val="00973B27"/>
    <w:rsid w:val="00975AE3"/>
    <w:rsid w:val="00985C9B"/>
    <w:rsid w:val="009A1013"/>
    <w:rsid w:val="009A1E97"/>
    <w:rsid w:val="009A2023"/>
    <w:rsid w:val="009A290C"/>
    <w:rsid w:val="009B0E31"/>
    <w:rsid w:val="009D2C65"/>
    <w:rsid w:val="009D4DFD"/>
    <w:rsid w:val="009E6C94"/>
    <w:rsid w:val="009F086C"/>
    <w:rsid w:val="00A03E4C"/>
    <w:rsid w:val="00A0634E"/>
    <w:rsid w:val="00A101B2"/>
    <w:rsid w:val="00A12C75"/>
    <w:rsid w:val="00A1653D"/>
    <w:rsid w:val="00A407EC"/>
    <w:rsid w:val="00A422F0"/>
    <w:rsid w:val="00A46D19"/>
    <w:rsid w:val="00A52DA8"/>
    <w:rsid w:val="00A5596E"/>
    <w:rsid w:val="00A56E83"/>
    <w:rsid w:val="00A67AF8"/>
    <w:rsid w:val="00A729E5"/>
    <w:rsid w:val="00A7631B"/>
    <w:rsid w:val="00A8188C"/>
    <w:rsid w:val="00A86E03"/>
    <w:rsid w:val="00A91D54"/>
    <w:rsid w:val="00A970D4"/>
    <w:rsid w:val="00AB0A1A"/>
    <w:rsid w:val="00AE2ADF"/>
    <w:rsid w:val="00B26580"/>
    <w:rsid w:val="00B30620"/>
    <w:rsid w:val="00B42CB1"/>
    <w:rsid w:val="00B4638B"/>
    <w:rsid w:val="00B5055A"/>
    <w:rsid w:val="00B53142"/>
    <w:rsid w:val="00B54440"/>
    <w:rsid w:val="00B756E9"/>
    <w:rsid w:val="00B9332F"/>
    <w:rsid w:val="00BA04EF"/>
    <w:rsid w:val="00BB78B5"/>
    <w:rsid w:val="00BC4734"/>
    <w:rsid w:val="00BE444F"/>
    <w:rsid w:val="00BF0A76"/>
    <w:rsid w:val="00BF174D"/>
    <w:rsid w:val="00BF21C8"/>
    <w:rsid w:val="00BF3185"/>
    <w:rsid w:val="00BF3326"/>
    <w:rsid w:val="00C106EC"/>
    <w:rsid w:val="00C121D7"/>
    <w:rsid w:val="00C366D6"/>
    <w:rsid w:val="00C51243"/>
    <w:rsid w:val="00C52975"/>
    <w:rsid w:val="00C5448F"/>
    <w:rsid w:val="00C567DD"/>
    <w:rsid w:val="00C658C0"/>
    <w:rsid w:val="00C94A58"/>
    <w:rsid w:val="00C97FE9"/>
    <w:rsid w:val="00CA7800"/>
    <w:rsid w:val="00CF34FE"/>
    <w:rsid w:val="00CF443D"/>
    <w:rsid w:val="00D22274"/>
    <w:rsid w:val="00D26451"/>
    <w:rsid w:val="00D40153"/>
    <w:rsid w:val="00D40B96"/>
    <w:rsid w:val="00DA6A1F"/>
    <w:rsid w:val="00DA7C39"/>
    <w:rsid w:val="00DF1151"/>
    <w:rsid w:val="00DF6969"/>
    <w:rsid w:val="00E0270C"/>
    <w:rsid w:val="00E147E5"/>
    <w:rsid w:val="00E14D0A"/>
    <w:rsid w:val="00E21248"/>
    <w:rsid w:val="00E22C38"/>
    <w:rsid w:val="00E2784C"/>
    <w:rsid w:val="00E309CC"/>
    <w:rsid w:val="00E357D1"/>
    <w:rsid w:val="00E35870"/>
    <w:rsid w:val="00E54E9F"/>
    <w:rsid w:val="00E727F4"/>
    <w:rsid w:val="00E76548"/>
    <w:rsid w:val="00E852DA"/>
    <w:rsid w:val="00E925A3"/>
    <w:rsid w:val="00E97A8D"/>
    <w:rsid w:val="00EA078C"/>
    <w:rsid w:val="00EA0D0F"/>
    <w:rsid w:val="00EA3879"/>
    <w:rsid w:val="00EA4334"/>
    <w:rsid w:val="00ED7494"/>
    <w:rsid w:val="00EF38C1"/>
    <w:rsid w:val="00F15B78"/>
    <w:rsid w:val="00F2171C"/>
    <w:rsid w:val="00F31CB0"/>
    <w:rsid w:val="00F32C75"/>
    <w:rsid w:val="00F41DED"/>
    <w:rsid w:val="00F50785"/>
    <w:rsid w:val="00F531E5"/>
    <w:rsid w:val="00F647AB"/>
    <w:rsid w:val="00F75CFF"/>
    <w:rsid w:val="00F80466"/>
    <w:rsid w:val="00F83EDF"/>
    <w:rsid w:val="00F86118"/>
    <w:rsid w:val="00F94EBE"/>
    <w:rsid w:val="00FA4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AB094"/>
  <w15:chartTrackingRefBased/>
  <w15:docId w15:val="{0972D6AA-D723-4278-82B7-AA0C39ED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4B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4B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4B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4B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4B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4B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4B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4B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4B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B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4B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4B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4B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4B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4B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4B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4B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4BB6"/>
    <w:rPr>
      <w:rFonts w:eastAsiaTheme="majorEastAsia" w:cstheme="majorBidi"/>
      <w:color w:val="272727" w:themeColor="text1" w:themeTint="D8"/>
    </w:rPr>
  </w:style>
  <w:style w:type="paragraph" w:styleId="Title">
    <w:name w:val="Title"/>
    <w:basedOn w:val="Normal"/>
    <w:next w:val="Normal"/>
    <w:link w:val="TitleChar"/>
    <w:uiPriority w:val="10"/>
    <w:qFormat/>
    <w:rsid w:val="004B4B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4B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4B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4B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4BB6"/>
    <w:pPr>
      <w:spacing w:before="160"/>
      <w:jc w:val="center"/>
    </w:pPr>
    <w:rPr>
      <w:i/>
      <w:iCs/>
      <w:color w:val="404040" w:themeColor="text1" w:themeTint="BF"/>
    </w:rPr>
  </w:style>
  <w:style w:type="character" w:customStyle="1" w:styleId="QuoteChar">
    <w:name w:val="Quote Char"/>
    <w:basedOn w:val="DefaultParagraphFont"/>
    <w:link w:val="Quote"/>
    <w:uiPriority w:val="29"/>
    <w:rsid w:val="004B4BB6"/>
    <w:rPr>
      <w:i/>
      <w:iCs/>
      <w:color w:val="404040" w:themeColor="text1" w:themeTint="BF"/>
    </w:rPr>
  </w:style>
  <w:style w:type="paragraph" w:styleId="ListParagraph">
    <w:name w:val="List Paragraph"/>
    <w:basedOn w:val="Normal"/>
    <w:uiPriority w:val="34"/>
    <w:qFormat/>
    <w:rsid w:val="004B4BB6"/>
    <w:pPr>
      <w:ind w:left="720"/>
      <w:contextualSpacing/>
    </w:pPr>
  </w:style>
  <w:style w:type="character" w:styleId="IntenseEmphasis">
    <w:name w:val="Intense Emphasis"/>
    <w:basedOn w:val="DefaultParagraphFont"/>
    <w:uiPriority w:val="21"/>
    <w:qFormat/>
    <w:rsid w:val="004B4BB6"/>
    <w:rPr>
      <w:i/>
      <w:iCs/>
      <w:color w:val="0F4761" w:themeColor="accent1" w:themeShade="BF"/>
    </w:rPr>
  </w:style>
  <w:style w:type="paragraph" w:styleId="IntenseQuote">
    <w:name w:val="Intense Quote"/>
    <w:basedOn w:val="Normal"/>
    <w:next w:val="Normal"/>
    <w:link w:val="IntenseQuoteChar"/>
    <w:uiPriority w:val="30"/>
    <w:qFormat/>
    <w:rsid w:val="004B4B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4BB6"/>
    <w:rPr>
      <w:i/>
      <w:iCs/>
      <w:color w:val="0F4761" w:themeColor="accent1" w:themeShade="BF"/>
    </w:rPr>
  </w:style>
  <w:style w:type="character" w:styleId="IntenseReference">
    <w:name w:val="Intense Reference"/>
    <w:basedOn w:val="DefaultParagraphFont"/>
    <w:uiPriority w:val="32"/>
    <w:qFormat/>
    <w:rsid w:val="004B4BB6"/>
    <w:rPr>
      <w:b/>
      <w:bCs/>
      <w:smallCaps/>
      <w:color w:val="0F4761" w:themeColor="accent1" w:themeShade="BF"/>
      <w:spacing w:val="5"/>
    </w:rPr>
  </w:style>
  <w:style w:type="paragraph" w:customStyle="1" w:styleId="Default">
    <w:name w:val="Default"/>
    <w:rsid w:val="004B4BB6"/>
    <w:pPr>
      <w:autoSpaceDE w:val="0"/>
      <w:autoSpaceDN w:val="0"/>
      <w:adjustRightInd w:val="0"/>
      <w:spacing w:after="0" w:line="240" w:lineRule="auto"/>
    </w:pPr>
    <w:rPr>
      <w:rFonts w:ascii="Arial" w:hAnsi="Arial" w:cs="Arial"/>
      <w:color w:val="000000"/>
      <w:kern w:val="0"/>
      <w:sz w:val="24"/>
      <w:szCs w:val="24"/>
    </w:rPr>
  </w:style>
  <w:style w:type="paragraph" w:styleId="NormalWeb">
    <w:name w:val="Normal (Web)"/>
    <w:basedOn w:val="Normal"/>
    <w:uiPriority w:val="99"/>
    <w:semiHidden/>
    <w:unhideWhenUsed/>
    <w:rsid w:val="00347A1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Spacing">
    <w:name w:val="No Spacing"/>
    <w:uiPriority w:val="1"/>
    <w:qFormat/>
    <w:rsid w:val="00347A17"/>
    <w:pPr>
      <w:spacing w:after="0" w:line="240" w:lineRule="auto"/>
    </w:pPr>
  </w:style>
  <w:style w:type="table" w:styleId="TableGrid">
    <w:name w:val="Table Grid"/>
    <w:basedOn w:val="TableNormal"/>
    <w:uiPriority w:val="39"/>
    <w:rsid w:val="009A2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0F5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773743">
      <w:bodyDiv w:val="1"/>
      <w:marLeft w:val="0"/>
      <w:marRight w:val="0"/>
      <w:marTop w:val="0"/>
      <w:marBottom w:val="0"/>
      <w:divBdr>
        <w:top w:val="none" w:sz="0" w:space="0" w:color="auto"/>
        <w:left w:val="none" w:sz="0" w:space="0" w:color="auto"/>
        <w:bottom w:val="none" w:sz="0" w:space="0" w:color="auto"/>
        <w:right w:val="none" w:sz="0" w:space="0" w:color="auto"/>
      </w:divBdr>
    </w:div>
    <w:div w:id="505636424">
      <w:bodyDiv w:val="1"/>
      <w:marLeft w:val="0"/>
      <w:marRight w:val="0"/>
      <w:marTop w:val="0"/>
      <w:marBottom w:val="0"/>
      <w:divBdr>
        <w:top w:val="none" w:sz="0" w:space="0" w:color="auto"/>
        <w:left w:val="none" w:sz="0" w:space="0" w:color="auto"/>
        <w:bottom w:val="none" w:sz="0" w:space="0" w:color="auto"/>
        <w:right w:val="none" w:sz="0" w:space="0" w:color="auto"/>
      </w:divBdr>
    </w:div>
    <w:div w:id="613681481">
      <w:bodyDiv w:val="1"/>
      <w:marLeft w:val="0"/>
      <w:marRight w:val="0"/>
      <w:marTop w:val="0"/>
      <w:marBottom w:val="0"/>
      <w:divBdr>
        <w:top w:val="none" w:sz="0" w:space="0" w:color="auto"/>
        <w:left w:val="none" w:sz="0" w:space="0" w:color="auto"/>
        <w:bottom w:val="none" w:sz="0" w:space="0" w:color="auto"/>
        <w:right w:val="none" w:sz="0" w:space="0" w:color="auto"/>
      </w:divBdr>
    </w:div>
    <w:div w:id="723791411">
      <w:bodyDiv w:val="1"/>
      <w:marLeft w:val="0"/>
      <w:marRight w:val="0"/>
      <w:marTop w:val="0"/>
      <w:marBottom w:val="0"/>
      <w:divBdr>
        <w:top w:val="none" w:sz="0" w:space="0" w:color="auto"/>
        <w:left w:val="none" w:sz="0" w:space="0" w:color="auto"/>
        <w:bottom w:val="none" w:sz="0" w:space="0" w:color="auto"/>
        <w:right w:val="none" w:sz="0" w:space="0" w:color="auto"/>
      </w:divBdr>
    </w:div>
    <w:div w:id="792596625">
      <w:bodyDiv w:val="1"/>
      <w:marLeft w:val="0"/>
      <w:marRight w:val="0"/>
      <w:marTop w:val="0"/>
      <w:marBottom w:val="0"/>
      <w:divBdr>
        <w:top w:val="none" w:sz="0" w:space="0" w:color="auto"/>
        <w:left w:val="none" w:sz="0" w:space="0" w:color="auto"/>
        <w:bottom w:val="none" w:sz="0" w:space="0" w:color="auto"/>
        <w:right w:val="none" w:sz="0" w:space="0" w:color="auto"/>
      </w:divBdr>
    </w:div>
    <w:div w:id="852652018">
      <w:bodyDiv w:val="1"/>
      <w:marLeft w:val="0"/>
      <w:marRight w:val="0"/>
      <w:marTop w:val="0"/>
      <w:marBottom w:val="0"/>
      <w:divBdr>
        <w:top w:val="none" w:sz="0" w:space="0" w:color="auto"/>
        <w:left w:val="none" w:sz="0" w:space="0" w:color="auto"/>
        <w:bottom w:val="none" w:sz="0" w:space="0" w:color="auto"/>
        <w:right w:val="none" w:sz="0" w:space="0" w:color="auto"/>
      </w:divBdr>
    </w:div>
    <w:div w:id="886839472">
      <w:bodyDiv w:val="1"/>
      <w:marLeft w:val="0"/>
      <w:marRight w:val="0"/>
      <w:marTop w:val="0"/>
      <w:marBottom w:val="0"/>
      <w:divBdr>
        <w:top w:val="none" w:sz="0" w:space="0" w:color="auto"/>
        <w:left w:val="none" w:sz="0" w:space="0" w:color="auto"/>
        <w:bottom w:val="none" w:sz="0" w:space="0" w:color="auto"/>
        <w:right w:val="none" w:sz="0" w:space="0" w:color="auto"/>
      </w:divBdr>
    </w:div>
    <w:div w:id="901871187">
      <w:bodyDiv w:val="1"/>
      <w:marLeft w:val="0"/>
      <w:marRight w:val="0"/>
      <w:marTop w:val="0"/>
      <w:marBottom w:val="0"/>
      <w:divBdr>
        <w:top w:val="none" w:sz="0" w:space="0" w:color="auto"/>
        <w:left w:val="none" w:sz="0" w:space="0" w:color="auto"/>
        <w:bottom w:val="none" w:sz="0" w:space="0" w:color="auto"/>
        <w:right w:val="none" w:sz="0" w:space="0" w:color="auto"/>
      </w:divBdr>
    </w:div>
    <w:div w:id="946544396">
      <w:bodyDiv w:val="1"/>
      <w:marLeft w:val="0"/>
      <w:marRight w:val="0"/>
      <w:marTop w:val="0"/>
      <w:marBottom w:val="0"/>
      <w:divBdr>
        <w:top w:val="none" w:sz="0" w:space="0" w:color="auto"/>
        <w:left w:val="none" w:sz="0" w:space="0" w:color="auto"/>
        <w:bottom w:val="none" w:sz="0" w:space="0" w:color="auto"/>
        <w:right w:val="none" w:sz="0" w:space="0" w:color="auto"/>
      </w:divBdr>
    </w:div>
    <w:div w:id="1208494472">
      <w:bodyDiv w:val="1"/>
      <w:marLeft w:val="0"/>
      <w:marRight w:val="0"/>
      <w:marTop w:val="0"/>
      <w:marBottom w:val="0"/>
      <w:divBdr>
        <w:top w:val="none" w:sz="0" w:space="0" w:color="auto"/>
        <w:left w:val="none" w:sz="0" w:space="0" w:color="auto"/>
        <w:bottom w:val="none" w:sz="0" w:space="0" w:color="auto"/>
        <w:right w:val="none" w:sz="0" w:space="0" w:color="auto"/>
      </w:divBdr>
    </w:div>
    <w:div w:id="1261262115">
      <w:bodyDiv w:val="1"/>
      <w:marLeft w:val="0"/>
      <w:marRight w:val="0"/>
      <w:marTop w:val="0"/>
      <w:marBottom w:val="0"/>
      <w:divBdr>
        <w:top w:val="none" w:sz="0" w:space="0" w:color="auto"/>
        <w:left w:val="none" w:sz="0" w:space="0" w:color="auto"/>
        <w:bottom w:val="none" w:sz="0" w:space="0" w:color="auto"/>
        <w:right w:val="none" w:sz="0" w:space="0" w:color="auto"/>
      </w:divBdr>
    </w:div>
    <w:div w:id="1274509340">
      <w:bodyDiv w:val="1"/>
      <w:marLeft w:val="0"/>
      <w:marRight w:val="0"/>
      <w:marTop w:val="0"/>
      <w:marBottom w:val="0"/>
      <w:divBdr>
        <w:top w:val="none" w:sz="0" w:space="0" w:color="auto"/>
        <w:left w:val="none" w:sz="0" w:space="0" w:color="auto"/>
        <w:bottom w:val="none" w:sz="0" w:space="0" w:color="auto"/>
        <w:right w:val="none" w:sz="0" w:space="0" w:color="auto"/>
      </w:divBdr>
    </w:div>
    <w:div w:id="1306592040">
      <w:bodyDiv w:val="1"/>
      <w:marLeft w:val="0"/>
      <w:marRight w:val="0"/>
      <w:marTop w:val="0"/>
      <w:marBottom w:val="0"/>
      <w:divBdr>
        <w:top w:val="none" w:sz="0" w:space="0" w:color="auto"/>
        <w:left w:val="none" w:sz="0" w:space="0" w:color="auto"/>
        <w:bottom w:val="none" w:sz="0" w:space="0" w:color="auto"/>
        <w:right w:val="none" w:sz="0" w:space="0" w:color="auto"/>
      </w:divBdr>
      <w:divsChild>
        <w:div w:id="1876847836">
          <w:marLeft w:val="720"/>
          <w:marRight w:val="0"/>
          <w:marTop w:val="0"/>
          <w:marBottom w:val="0"/>
          <w:divBdr>
            <w:top w:val="none" w:sz="0" w:space="0" w:color="auto"/>
            <w:left w:val="none" w:sz="0" w:space="0" w:color="auto"/>
            <w:bottom w:val="none" w:sz="0" w:space="0" w:color="auto"/>
            <w:right w:val="none" w:sz="0" w:space="0" w:color="auto"/>
          </w:divBdr>
        </w:div>
      </w:divsChild>
    </w:div>
    <w:div w:id="1470511377">
      <w:bodyDiv w:val="1"/>
      <w:marLeft w:val="0"/>
      <w:marRight w:val="0"/>
      <w:marTop w:val="0"/>
      <w:marBottom w:val="0"/>
      <w:divBdr>
        <w:top w:val="none" w:sz="0" w:space="0" w:color="auto"/>
        <w:left w:val="none" w:sz="0" w:space="0" w:color="auto"/>
        <w:bottom w:val="none" w:sz="0" w:space="0" w:color="auto"/>
        <w:right w:val="none" w:sz="0" w:space="0" w:color="auto"/>
      </w:divBdr>
    </w:div>
    <w:div w:id="1476096827">
      <w:bodyDiv w:val="1"/>
      <w:marLeft w:val="0"/>
      <w:marRight w:val="0"/>
      <w:marTop w:val="0"/>
      <w:marBottom w:val="0"/>
      <w:divBdr>
        <w:top w:val="none" w:sz="0" w:space="0" w:color="auto"/>
        <w:left w:val="none" w:sz="0" w:space="0" w:color="auto"/>
        <w:bottom w:val="none" w:sz="0" w:space="0" w:color="auto"/>
        <w:right w:val="none" w:sz="0" w:space="0" w:color="auto"/>
      </w:divBdr>
    </w:div>
    <w:div w:id="1486583489">
      <w:bodyDiv w:val="1"/>
      <w:marLeft w:val="0"/>
      <w:marRight w:val="0"/>
      <w:marTop w:val="0"/>
      <w:marBottom w:val="0"/>
      <w:divBdr>
        <w:top w:val="none" w:sz="0" w:space="0" w:color="auto"/>
        <w:left w:val="none" w:sz="0" w:space="0" w:color="auto"/>
        <w:bottom w:val="none" w:sz="0" w:space="0" w:color="auto"/>
        <w:right w:val="none" w:sz="0" w:space="0" w:color="auto"/>
      </w:divBdr>
    </w:div>
    <w:div w:id="1531215256">
      <w:bodyDiv w:val="1"/>
      <w:marLeft w:val="0"/>
      <w:marRight w:val="0"/>
      <w:marTop w:val="0"/>
      <w:marBottom w:val="0"/>
      <w:divBdr>
        <w:top w:val="none" w:sz="0" w:space="0" w:color="auto"/>
        <w:left w:val="none" w:sz="0" w:space="0" w:color="auto"/>
        <w:bottom w:val="none" w:sz="0" w:space="0" w:color="auto"/>
        <w:right w:val="none" w:sz="0" w:space="0" w:color="auto"/>
      </w:divBdr>
    </w:div>
    <w:div w:id="1820611767">
      <w:bodyDiv w:val="1"/>
      <w:marLeft w:val="0"/>
      <w:marRight w:val="0"/>
      <w:marTop w:val="0"/>
      <w:marBottom w:val="0"/>
      <w:divBdr>
        <w:top w:val="none" w:sz="0" w:space="0" w:color="auto"/>
        <w:left w:val="none" w:sz="0" w:space="0" w:color="auto"/>
        <w:bottom w:val="none" w:sz="0" w:space="0" w:color="auto"/>
        <w:right w:val="none" w:sz="0" w:space="0" w:color="auto"/>
      </w:divBdr>
      <w:divsChild>
        <w:div w:id="1930574325">
          <w:marLeft w:val="720"/>
          <w:marRight w:val="0"/>
          <w:marTop w:val="0"/>
          <w:marBottom w:val="0"/>
          <w:divBdr>
            <w:top w:val="none" w:sz="0" w:space="0" w:color="auto"/>
            <w:left w:val="none" w:sz="0" w:space="0" w:color="auto"/>
            <w:bottom w:val="none" w:sz="0" w:space="0" w:color="auto"/>
            <w:right w:val="none" w:sz="0" w:space="0" w:color="auto"/>
          </w:divBdr>
        </w:div>
        <w:div w:id="906115139">
          <w:marLeft w:val="720"/>
          <w:marRight w:val="0"/>
          <w:marTop w:val="0"/>
          <w:marBottom w:val="0"/>
          <w:divBdr>
            <w:top w:val="none" w:sz="0" w:space="0" w:color="auto"/>
            <w:left w:val="none" w:sz="0" w:space="0" w:color="auto"/>
            <w:bottom w:val="none" w:sz="0" w:space="0" w:color="auto"/>
            <w:right w:val="none" w:sz="0" w:space="0" w:color="auto"/>
          </w:divBdr>
        </w:div>
        <w:div w:id="509370256">
          <w:marLeft w:val="720"/>
          <w:marRight w:val="0"/>
          <w:marTop w:val="0"/>
          <w:marBottom w:val="0"/>
          <w:divBdr>
            <w:top w:val="none" w:sz="0" w:space="0" w:color="auto"/>
            <w:left w:val="none" w:sz="0" w:space="0" w:color="auto"/>
            <w:bottom w:val="none" w:sz="0" w:space="0" w:color="auto"/>
            <w:right w:val="none" w:sz="0" w:space="0" w:color="auto"/>
          </w:divBdr>
        </w:div>
        <w:div w:id="1236891963">
          <w:marLeft w:val="720"/>
          <w:marRight w:val="0"/>
          <w:marTop w:val="0"/>
          <w:marBottom w:val="0"/>
          <w:divBdr>
            <w:top w:val="none" w:sz="0" w:space="0" w:color="auto"/>
            <w:left w:val="none" w:sz="0" w:space="0" w:color="auto"/>
            <w:bottom w:val="none" w:sz="0" w:space="0" w:color="auto"/>
            <w:right w:val="none" w:sz="0" w:space="0" w:color="auto"/>
          </w:divBdr>
        </w:div>
        <w:div w:id="1968927421">
          <w:marLeft w:val="720"/>
          <w:marRight w:val="0"/>
          <w:marTop w:val="0"/>
          <w:marBottom w:val="0"/>
          <w:divBdr>
            <w:top w:val="none" w:sz="0" w:space="0" w:color="auto"/>
            <w:left w:val="none" w:sz="0" w:space="0" w:color="auto"/>
            <w:bottom w:val="none" w:sz="0" w:space="0" w:color="auto"/>
            <w:right w:val="none" w:sz="0" w:space="0" w:color="auto"/>
          </w:divBdr>
        </w:div>
        <w:div w:id="575630877">
          <w:marLeft w:val="720"/>
          <w:marRight w:val="0"/>
          <w:marTop w:val="0"/>
          <w:marBottom w:val="0"/>
          <w:divBdr>
            <w:top w:val="none" w:sz="0" w:space="0" w:color="auto"/>
            <w:left w:val="none" w:sz="0" w:space="0" w:color="auto"/>
            <w:bottom w:val="none" w:sz="0" w:space="0" w:color="auto"/>
            <w:right w:val="none" w:sz="0" w:space="0" w:color="auto"/>
          </w:divBdr>
        </w:div>
      </w:divsChild>
    </w:div>
    <w:div w:id="1857309527">
      <w:bodyDiv w:val="1"/>
      <w:marLeft w:val="0"/>
      <w:marRight w:val="0"/>
      <w:marTop w:val="0"/>
      <w:marBottom w:val="0"/>
      <w:divBdr>
        <w:top w:val="none" w:sz="0" w:space="0" w:color="auto"/>
        <w:left w:val="none" w:sz="0" w:space="0" w:color="auto"/>
        <w:bottom w:val="none" w:sz="0" w:space="0" w:color="auto"/>
        <w:right w:val="none" w:sz="0" w:space="0" w:color="auto"/>
      </w:divBdr>
    </w:div>
    <w:div w:id="1977640024">
      <w:bodyDiv w:val="1"/>
      <w:marLeft w:val="0"/>
      <w:marRight w:val="0"/>
      <w:marTop w:val="0"/>
      <w:marBottom w:val="0"/>
      <w:divBdr>
        <w:top w:val="none" w:sz="0" w:space="0" w:color="auto"/>
        <w:left w:val="none" w:sz="0" w:space="0" w:color="auto"/>
        <w:bottom w:val="none" w:sz="0" w:space="0" w:color="auto"/>
        <w:right w:val="none" w:sz="0" w:space="0" w:color="auto"/>
      </w:divBdr>
    </w:div>
    <w:div w:id="1983540698">
      <w:bodyDiv w:val="1"/>
      <w:marLeft w:val="0"/>
      <w:marRight w:val="0"/>
      <w:marTop w:val="0"/>
      <w:marBottom w:val="0"/>
      <w:divBdr>
        <w:top w:val="none" w:sz="0" w:space="0" w:color="auto"/>
        <w:left w:val="none" w:sz="0" w:space="0" w:color="auto"/>
        <w:bottom w:val="none" w:sz="0" w:space="0" w:color="auto"/>
        <w:right w:val="none" w:sz="0" w:space="0" w:color="auto"/>
      </w:divBdr>
    </w:div>
    <w:div w:id="2002659077">
      <w:bodyDiv w:val="1"/>
      <w:marLeft w:val="0"/>
      <w:marRight w:val="0"/>
      <w:marTop w:val="0"/>
      <w:marBottom w:val="0"/>
      <w:divBdr>
        <w:top w:val="none" w:sz="0" w:space="0" w:color="auto"/>
        <w:left w:val="none" w:sz="0" w:space="0" w:color="auto"/>
        <w:bottom w:val="none" w:sz="0" w:space="0" w:color="auto"/>
        <w:right w:val="none" w:sz="0" w:space="0" w:color="auto"/>
      </w:divBdr>
    </w:div>
    <w:div w:id="2014382378">
      <w:bodyDiv w:val="1"/>
      <w:marLeft w:val="0"/>
      <w:marRight w:val="0"/>
      <w:marTop w:val="0"/>
      <w:marBottom w:val="0"/>
      <w:divBdr>
        <w:top w:val="none" w:sz="0" w:space="0" w:color="auto"/>
        <w:left w:val="none" w:sz="0" w:space="0" w:color="auto"/>
        <w:bottom w:val="none" w:sz="0" w:space="0" w:color="auto"/>
        <w:right w:val="none" w:sz="0" w:space="0" w:color="auto"/>
      </w:divBdr>
    </w:div>
    <w:div w:id="21456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southtynesidegovuk-my.sharepoint.com/personal/manjit_sidhu_southtynesidehomes_org_uk1/Documents/Desktop/Complaints%20by%20type.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a:t>Stage</a:t>
            </a:r>
            <a:r>
              <a:rPr lang="en-GB" baseline="0"/>
              <a:t> 1</a:t>
            </a:r>
            <a:endParaRPr lang="en-GB"/>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034-446D-859E-7C3BEFAAA69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034-446D-859E-7C3BEFAAA69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034-446D-859E-7C3BEFAAA693}"/>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E034-446D-859E-7C3BEFAAA69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Sheet1!$A$1:$A$4</c:f>
              <c:strCache>
                <c:ptCount val="4"/>
                <c:pt idx="0">
                  <c:v>Upheld</c:v>
                </c:pt>
                <c:pt idx="1">
                  <c:v>Not Upheld</c:v>
                </c:pt>
                <c:pt idx="2">
                  <c:v>Partially Upheld</c:v>
                </c:pt>
                <c:pt idx="3">
                  <c:v>Discontinued</c:v>
                </c:pt>
              </c:strCache>
            </c:strRef>
          </c:cat>
          <c:val>
            <c:numRef>
              <c:f>Sheet1!$B$1:$B$4</c:f>
              <c:numCache>
                <c:formatCode>General</c:formatCode>
                <c:ptCount val="4"/>
                <c:pt idx="0">
                  <c:v>283</c:v>
                </c:pt>
                <c:pt idx="1">
                  <c:v>279</c:v>
                </c:pt>
                <c:pt idx="2">
                  <c:v>327</c:v>
                </c:pt>
                <c:pt idx="3">
                  <c:v>149</c:v>
                </c:pt>
              </c:numCache>
            </c:numRef>
          </c:val>
          <c:extLst>
            <c:ext xmlns:c16="http://schemas.microsoft.com/office/drawing/2014/chart" uri="{C3380CC4-5D6E-409C-BE32-E72D297353CC}">
              <c16:uniqueId val="{00000008-E034-446D-859E-7C3BEFAAA69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a:t>Stage</a:t>
            </a:r>
            <a:r>
              <a:rPr lang="en-GB" baseline="0"/>
              <a:t> 2</a:t>
            </a:r>
            <a:endParaRPr lang="en-GB"/>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F71-4A8C-AF2C-3061A17B3CD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F71-4A8C-AF2C-3061A17B3CD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F71-4A8C-AF2C-3061A17B3CD9}"/>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F71-4A8C-AF2C-3061A17B3CD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Sheet2!$A$1:$A$4</c:f>
              <c:strCache>
                <c:ptCount val="4"/>
                <c:pt idx="0">
                  <c:v>Upheld</c:v>
                </c:pt>
                <c:pt idx="1">
                  <c:v>Not Upheld</c:v>
                </c:pt>
                <c:pt idx="2">
                  <c:v>Partially Upheld</c:v>
                </c:pt>
                <c:pt idx="3">
                  <c:v>Discontinued</c:v>
                </c:pt>
              </c:strCache>
            </c:strRef>
          </c:cat>
          <c:val>
            <c:numRef>
              <c:f>Sheet2!$B$1:$B$4</c:f>
              <c:numCache>
                <c:formatCode>General</c:formatCode>
                <c:ptCount val="4"/>
                <c:pt idx="0">
                  <c:v>48</c:v>
                </c:pt>
                <c:pt idx="1">
                  <c:v>33</c:v>
                </c:pt>
                <c:pt idx="2">
                  <c:v>66</c:v>
                </c:pt>
                <c:pt idx="3">
                  <c:v>4</c:v>
                </c:pt>
              </c:numCache>
            </c:numRef>
          </c:val>
          <c:extLst>
            <c:ext xmlns:c16="http://schemas.microsoft.com/office/drawing/2014/chart" uri="{C3380CC4-5D6E-409C-BE32-E72D297353CC}">
              <c16:uniqueId val="{00000008-DF71-4A8C-AF2C-3061A17B3CD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a:t>Reasons</a:t>
            </a:r>
            <a:r>
              <a:rPr lang="en-GB" baseline="0"/>
              <a:t> for Complaints</a:t>
            </a:r>
            <a:endParaRPr lang="en-GB"/>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'[Complaints by type.xlsx]Sheet2'!$A$1:$I$1</c:f>
              <c:strCache>
                <c:ptCount val="9"/>
                <c:pt idx="0">
                  <c:v>Delays in providing a service</c:v>
                </c:pt>
                <c:pt idx="1">
                  <c:v>Difficulties contacting us </c:v>
                </c:pt>
                <c:pt idx="2">
                  <c:v>Employee Attitude</c:v>
                </c:pt>
                <c:pt idx="3">
                  <c:v>Other Employee Issue</c:v>
                </c:pt>
                <c:pt idx="4">
                  <c:v>Poor Communication</c:v>
                </c:pt>
                <c:pt idx="5">
                  <c:v>Problems accessing  a service</c:v>
                </c:pt>
                <c:pt idx="6">
                  <c:v>Quality of service</c:v>
                </c:pt>
                <c:pt idx="7">
                  <c:v>Service agreed but not delivered</c:v>
                </c:pt>
                <c:pt idx="8">
                  <c:v>Unhappy with a decision we have made</c:v>
                </c:pt>
              </c:strCache>
            </c:strRef>
          </c:cat>
          <c:val>
            <c:numRef>
              <c:f>'[Complaints by type.xlsx]Sheet2'!$A$2:$I$2</c:f>
              <c:numCache>
                <c:formatCode>General</c:formatCode>
                <c:ptCount val="9"/>
                <c:pt idx="0">
                  <c:v>197</c:v>
                </c:pt>
                <c:pt idx="1">
                  <c:v>6</c:v>
                </c:pt>
                <c:pt idx="2">
                  <c:v>69</c:v>
                </c:pt>
                <c:pt idx="3">
                  <c:v>28</c:v>
                </c:pt>
                <c:pt idx="4">
                  <c:v>123</c:v>
                </c:pt>
                <c:pt idx="5">
                  <c:v>25</c:v>
                </c:pt>
                <c:pt idx="6">
                  <c:v>332</c:v>
                </c:pt>
                <c:pt idx="7">
                  <c:v>199</c:v>
                </c:pt>
                <c:pt idx="8">
                  <c:v>59</c:v>
                </c:pt>
              </c:numCache>
            </c:numRef>
          </c:val>
          <c:extLst>
            <c:ext xmlns:c16="http://schemas.microsoft.com/office/drawing/2014/chart" uri="{C3380CC4-5D6E-409C-BE32-E72D297353CC}">
              <c16:uniqueId val="{00000000-D085-4EA9-A0A3-09B1E511C438}"/>
            </c:ext>
          </c:extLst>
        </c:ser>
        <c:dLbls>
          <c:showLegendKey val="0"/>
          <c:showVal val="0"/>
          <c:showCatName val="0"/>
          <c:showSerName val="0"/>
          <c:showPercent val="0"/>
          <c:showBubbleSize val="0"/>
        </c:dLbls>
        <c:gapWidth val="150"/>
        <c:shape val="box"/>
        <c:axId val="918500856"/>
        <c:axId val="918499056"/>
        <c:axId val="0"/>
      </c:bar3DChart>
      <c:catAx>
        <c:axId val="91850085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8499056"/>
        <c:crosses val="autoZero"/>
        <c:auto val="1"/>
        <c:lblAlgn val="ctr"/>
        <c:lblOffset val="100"/>
        <c:noMultiLvlLbl val="0"/>
      </c:catAx>
      <c:valAx>
        <c:axId val="9184990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85008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00F54-CD5A-4903-94F1-AF502AF77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13</Pages>
  <Words>3267</Words>
  <Characters>18627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Manjit Sidhu</dc:creator>
  <cp:keywords/>
  <dc:description/>
  <cp:lastModifiedBy>Manjit Sidhu</cp:lastModifiedBy>
  <cp:revision>253</cp:revision>
  <dcterms:created xsi:type="dcterms:W3CDTF">2024-07-04T13:20:00Z</dcterms:created>
  <dcterms:modified xsi:type="dcterms:W3CDTF">2024-09-05T11:30:00Z</dcterms:modified>
</cp:coreProperties>
</file>